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56"/>
          <w:szCs w:val="56"/>
          <w:highlight w:val="none"/>
          <w:lang w:eastAsia="zh-CN"/>
        </w:rPr>
      </w:pPr>
      <w:bookmarkStart w:id="0" w:name="_Toc26533_WPSOffice_Type1"/>
      <w:bookmarkEnd w:id="0"/>
      <w:bookmarkStart w:id="1" w:name="_Toc221949919"/>
    </w:p>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56"/>
          <w:szCs w:val="56"/>
          <w:highlight w:val="none"/>
          <w:lang w:eastAsia="zh-CN"/>
        </w:rPr>
      </w:pPr>
      <w:r>
        <w:rPr>
          <w:rFonts w:hint="eastAsia" w:asciiTheme="minorEastAsia" w:hAnsiTheme="minorEastAsia" w:eastAsiaTheme="minorEastAsia" w:cstheme="minorEastAsia"/>
          <w:b/>
          <w:bCs/>
          <w:sz w:val="56"/>
          <w:szCs w:val="56"/>
          <w:highlight w:val="none"/>
          <w:lang w:eastAsia="zh-CN"/>
        </w:rPr>
        <w:t>平顶山东部客运枢纽站项目施工及监理</w:t>
      </w:r>
    </w:p>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56"/>
          <w:szCs w:val="56"/>
          <w:highlight w:val="none"/>
          <w:lang w:eastAsia="zh-CN"/>
        </w:rPr>
      </w:pPr>
      <w:r>
        <w:rPr>
          <w:rFonts w:hint="eastAsia" w:asciiTheme="minorEastAsia" w:hAnsiTheme="minorEastAsia" w:eastAsiaTheme="minorEastAsia" w:cstheme="minorEastAsia"/>
          <w:b/>
          <w:bCs/>
          <w:sz w:val="56"/>
          <w:szCs w:val="56"/>
          <w:highlight w:val="none"/>
          <w:lang w:eastAsia="zh-CN"/>
        </w:rPr>
        <w:t>（第</w:t>
      </w:r>
      <w:r>
        <w:rPr>
          <w:rFonts w:hint="eastAsia" w:asciiTheme="minorEastAsia" w:hAnsiTheme="minorEastAsia" w:eastAsiaTheme="minorEastAsia" w:cstheme="minorEastAsia"/>
          <w:b/>
          <w:bCs/>
          <w:sz w:val="56"/>
          <w:szCs w:val="56"/>
          <w:highlight w:val="none"/>
          <w:lang w:val="en-US" w:eastAsia="zh-CN"/>
        </w:rPr>
        <w:t>二</w:t>
      </w:r>
      <w:r>
        <w:rPr>
          <w:rFonts w:hint="eastAsia" w:asciiTheme="minorEastAsia" w:hAnsiTheme="minorEastAsia" w:eastAsiaTheme="minorEastAsia" w:cstheme="minorEastAsia"/>
          <w:b/>
          <w:bCs/>
          <w:sz w:val="56"/>
          <w:szCs w:val="56"/>
          <w:highlight w:val="none"/>
          <w:lang w:eastAsia="zh-CN"/>
        </w:rPr>
        <w:t>标段）</w:t>
      </w:r>
    </w:p>
    <w:p>
      <w:pPr>
        <w:pStyle w:val="2"/>
        <w:rPr>
          <w:rFonts w:hint="eastAsia"/>
          <w:highlight w:val="none"/>
        </w:rPr>
      </w:pPr>
    </w:p>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72"/>
          <w:szCs w:val="72"/>
          <w:highlight w:val="none"/>
        </w:rPr>
      </w:pPr>
      <w:r>
        <w:rPr>
          <w:rFonts w:hint="eastAsia" w:asciiTheme="minorEastAsia" w:hAnsiTheme="minorEastAsia" w:eastAsiaTheme="minorEastAsia" w:cstheme="minorEastAsia"/>
          <w:b/>
          <w:bCs/>
          <w:sz w:val="72"/>
          <w:szCs w:val="72"/>
          <w:highlight w:val="none"/>
        </w:rPr>
        <w:t xml:space="preserve">招标文件 </w:t>
      </w:r>
    </w:p>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28"/>
          <w:szCs w:val="28"/>
          <w:highlight w:val="none"/>
          <w:lang w:eastAsia="zh-CN"/>
        </w:rPr>
        <w:t>项目</w:t>
      </w:r>
      <w:r>
        <w:rPr>
          <w:rFonts w:hint="eastAsia" w:asciiTheme="minorEastAsia" w:hAnsiTheme="minorEastAsia" w:eastAsiaTheme="minorEastAsia" w:cstheme="minorEastAsia"/>
          <w:b/>
          <w:bCs/>
          <w:sz w:val="28"/>
          <w:szCs w:val="28"/>
          <w:highlight w:val="none"/>
        </w:rPr>
        <w:t>编号：</w:t>
      </w:r>
      <w:r>
        <w:rPr>
          <w:rFonts w:hint="eastAsia" w:ascii="宋体" w:hAnsi="宋体"/>
          <w:b/>
          <w:bCs/>
          <w:sz w:val="28"/>
          <w:szCs w:val="28"/>
          <w:highlight w:val="none"/>
          <w:lang w:val="en-US" w:eastAsia="zh-CN"/>
        </w:rPr>
        <w:t>PJS-2022-01</w:t>
      </w:r>
    </w:p>
    <w:p>
      <w:pPr>
        <w:pStyle w:val="56"/>
        <w:pageBreakBefore w:val="0"/>
        <w:kinsoku/>
        <w:overflowPunct/>
        <w:bidi w:val="0"/>
        <w:spacing w:line="360" w:lineRule="auto"/>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w:t>
      </w:r>
    </w:p>
    <w:p>
      <w:pPr>
        <w:rPr>
          <w:rFonts w:hint="eastAsia" w:asciiTheme="minorEastAsia" w:hAnsiTheme="minorEastAsia" w:eastAsiaTheme="minorEastAsia" w:cstheme="minorEastAsia"/>
          <w:highlight w:val="none"/>
        </w:rPr>
      </w:pPr>
    </w:p>
    <w:p>
      <w:pPr>
        <w:pStyle w:val="2"/>
        <w:rPr>
          <w:rFonts w:hint="eastAsia"/>
          <w:highlight w:val="none"/>
        </w:rPr>
      </w:pPr>
    </w:p>
    <w:p>
      <w:pPr>
        <w:pageBreakBefore w:val="0"/>
        <w:kinsoku/>
        <w:overflowPunct/>
        <w:bidi w:val="0"/>
        <w:spacing w:line="360" w:lineRule="auto"/>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fldChar w:fldCharType="begin"/>
      </w:r>
      <w:r>
        <w:instrText xml:space="preserve"> INCLUDEPICTURE "C:\\Users\\Administrator\\Desktop\\11111111111111111111111111111\\WeChat Files\\huamonv\\FileStorage\\Microsoft\\Windows\\Temporary%20Internet%20Files\\ksohtml5776\\wps1.jpg" \* MERGEFORMAT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highlight w:val="none"/>
        </w:rPr>
        <w:drawing>
          <wp:inline distT="0" distB="0" distL="114300" distR="114300">
            <wp:extent cx="1467485" cy="1167130"/>
            <wp:effectExtent l="0" t="0" r="18415" b="13970"/>
            <wp:docPr id="15"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ps1"/>
                    <pic:cNvPicPr>
                      <a:picLocks noChangeAspect="1"/>
                    </pic:cNvPicPr>
                  </pic:nvPicPr>
                  <pic:blipFill>
                    <a:blip r:embed="rId16"/>
                    <a:stretch>
                      <a:fillRect/>
                    </a:stretch>
                  </pic:blipFill>
                  <pic:spPr>
                    <a:xfrm>
                      <a:off x="0" y="0"/>
                      <a:ext cx="1467485" cy="1167130"/>
                    </a:xfrm>
                    <a:prstGeom prst="rect">
                      <a:avLst/>
                    </a:prstGeom>
                    <a:noFill/>
                    <a:ln>
                      <a:noFill/>
                    </a:ln>
                  </pic:spPr>
                </pic:pic>
              </a:graphicData>
            </a:graphic>
          </wp:inline>
        </w:drawing>
      </w:r>
      <w:r>
        <w:rPr>
          <w:rFonts w:hint="eastAsia" w:asciiTheme="minorEastAsia" w:hAnsiTheme="minorEastAsia" w:eastAsiaTheme="minorEastAsia" w:cstheme="minorEastAsia"/>
          <w:highlight w:val="none"/>
        </w:rPr>
        <w:fldChar w:fldCharType="end"/>
      </w:r>
      <w:r>
        <w:rPr>
          <w:rFonts w:hint="eastAsia" w:asciiTheme="minorEastAsia" w:hAnsiTheme="minorEastAsia" w:eastAsiaTheme="minorEastAsia" w:cstheme="minorEastAsia"/>
          <w:highlight w:val="none"/>
        </w:rPr>
        <w:t xml:space="preserve"> </w:t>
      </w:r>
    </w:p>
    <w:p>
      <w:pPr>
        <w:pageBreakBefore w:val="0"/>
        <w:kinsoku/>
        <w:overflowPunct/>
        <w:bidi w:val="0"/>
        <w:spacing w:line="360" w:lineRule="auto"/>
        <w:jc w:val="both"/>
        <w:textAlignment w:val="auto"/>
        <w:rPr>
          <w:rFonts w:hint="eastAsia" w:asciiTheme="minorEastAsia" w:hAnsiTheme="minorEastAsia" w:eastAsiaTheme="minorEastAsia" w:cstheme="minorEastAsia"/>
          <w:highlight w:val="none"/>
        </w:rPr>
      </w:pPr>
    </w:p>
    <w:p>
      <w:pPr>
        <w:pageBreakBefore w:val="0"/>
        <w:kinsoku/>
        <w:overflowPunct/>
        <w:bidi w:val="0"/>
        <w:spacing w:line="360" w:lineRule="auto"/>
        <w:jc w:val="center"/>
        <w:textAlignment w:val="auto"/>
        <w:rPr>
          <w:rFonts w:hint="eastAsia" w:asciiTheme="minorEastAsia" w:hAnsiTheme="minorEastAsia" w:eastAsiaTheme="minorEastAsia" w:cstheme="minorEastAsia"/>
          <w:highlight w:val="none"/>
        </w:rPr>
      </w:pPr>
    </w:p>
    <w:p>
      <w:pPr>
        <w:pageBreakBefore w:val="0"/>
        <w:kinsoku/>
        <w:overflowPunct/>
        <w:bidi w:val="0"/>
        <w:spacing w:line="360" w:lineRule="auto"/>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w:t>
      </w:r>
    </w:p>
    <w:p>
      <w:pPr>
        <w:pageBreakBefore w:val="0"/>
        <w:kinsoku/>
        <w:overflowPunct/>
        <w:bidi w:val="0"/>
        <w:spacing w:line="360" w:lineRule="auto"/>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w:t>
      </w:r>
    </w:p>
    <w:p>
      <w:pPr>
        <w:pageBreakBefore w:val="0"/>
        <w:kinsoku/>
        <w:overflowPunct/>
        <w:bidi w:val="0"/>
        <w:spacing w:line="360" w:lineRule="auto"/>
        <w:ind w:firstLine="1084" w:firstLineChars="300"/>
        <w:jc w:val="both"/>
        <w:textAlignment w:val="auto"/>
        <w:rPr>
          <w:rFonts w:hint="eastAsia" w:asciiTheme="minorEastAsia" w:hAnsiTheme="minorEastAsia" w:eastAsiaTheme="minorEastAsia" w:cstheme="minorEastAsia"/>
          <w:b/>
          <w:bCs/>
          <w:sz w:val="36"/>
          <w:szCs w:val="36"/>
          <w:highlight w:val="none"/>
          <w:lang w:eastAsia="zh-CN"/>
        </w:rPr>
      </w:pPr>
      <w:r>
        <w:rPr>
          <w:rFonts w:hint="eastAsia" w:asciiTheme="minorEastAsia" w:hAnsiTheme="minorEastAsia" w:eastAsiaTheme="minorEastAsia" w:cstheme="minorEastAsia"/>
          <w:b/>
          <w:bCs/>
          <w:sz w:val="36"/>
          <w:szCs w:val="36"/>
          <w:highlight w:val="none"/>
        </w:rPr>
        <w:t>招 标 人：</w:t>
      </w:r>
      <w:r>
        <w:rPr>
          <w:rFonts w:hint="eastAsia" w:asciiTheme="minorEastAsia" w:hAnsiTheme="minorEastAsia" w:eastAsiaTheme="minorEastAsia" w:cstheme="minorEastAsia"/>
          <w:b/>
          <w:bCs/>
          <w:sz w:val="36"/>
          <w:szCs w:val="36"/>
          <w:highlight w:val="none"/>
          <w:lang w:eastAsia="zh-CN"/>
        </w:rPr>
        <w:t>平顶山交通水利建设投资有限公司</w:t>
      </w:r>
    </w:p>
    <w:p>
      <w:pPr>
        <w:pageBreakBefore w:val="0"/>
        <w:kinsoku/>
        <w:overflowPunct/>
        <w:bidi w:val="0"/>
        <w:spacing w:line="360" w:lineRule="auto"/>
        <w:ind w:firstLine="1084" w:firstLineChars="300"/>
        <w:jc w:val="both"/>
        <w:textAlignment w:val="auto"/>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lang w:eastAsia="zh-CN"/>
        </w:rPr>
        <w:t>招标</w:t>
      </w:r>
      <w:r>
        <w:rPr>
          <w:rFonts w:hint="eastAsia" w:asciiTheme="minorEastAsia" w:hAnsiTheme="minorEastAsia" w:eastAsiaTheme="minorEastAsia" w:cstheme="minorEastAsia"/>
          <w:b/>
          <w:bCs/>
          <w:sz w:val="36"/>
          <w:szCs w:val="36"/>
          <w:highlight w:val="none"/>
        </w:rPr>
        <w:t>代理机构：河南财锐工程咨询服务有限公司</w:t>
      </w:r>
    </w:p>
    <w:p>
      <w:pPr>
        <w:pageBreakBefore w:val="0"/>
        <w:kinsoku/>
        <w:overflowPunct/>
        <w:bidi w:val="0"/>
        <w:spacing w:line="360" w:lineRule="auto"/>
        <w:jc w:val="center"/>
        <w:textAlignment w:val="auto"/>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sz w:val="20"/>
          <w:szCs w:val="20"/>
          <w:highlight w:val="none"/>
        </w:rPr>
        <w:fldChar w:fldCharType="begin"/>
      </w:r>
      <w:r>
        <w:instrText xml:space="preserve"> INCLUDEPICTURE "C:\\Users\\Administrator\\Desktop\\11111111111111111111111111111\\WeChat Files\\huamonv\\FileStorage\\Microsoft\\Windows\\Temporary%20Internet%20Files\\ksohtml5776\\wps2.png" \* MERGEFORMAT </w:instrText>
      </w:r>
      <w:r>
        <w:rPr>
          <w:rFonts w:hint="eastAsia" w:asciiTheme="minorEastAsia" w:hAnsiTheme="minorEastAsia" w:eastAsiaTheme="minorEastAsia" w:cstheme="minorEastAsia"/>
          <w:sz w:val="20"/>
          <w:szCs w:val="20"/>
          <w:highlight w:val="none"/>
        </w:rPr>
        <w:fldChar w:fldCharType="separate"/>
      </w:r>
      <w:r>
        <w:rPr>
          <w:rFonts w:hint="eastAsia" w:asciiTheme="minorEastAsia" w:hAnsiTheme="minorEastAsia" w:eastAsiaTheme="minorEastAsia" w:cstheme="minorEastAsia"/>
          <w:sz w:val="20"/>
          <w:szCs w:val="20"/>
          <w:highlight w:val="none"/>
        </w:rPr>
        <w:drawing>
          <wp:inline distT="0" distB="0" distL="114300" distR="114300">
            <wp:extent cx="4968875" cy="109855"/>
            <wp:effectExtent l="0" t="0" r="3175" b="4445"/>
            <wp:docPr id="16" name="图片 16"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ps2"/>
                    <pic:cNvPicPr>
                      <a:picLocks noChangeAspect="1"/>
                    </pic:cNvPicPr>
                  </pic:nvPicPr>
                  <pic:blipFill>
                    <a:blip r:embed="rId17"/>
                    <a:stretch>
                      <a:fillRect/>
                    </a:stretch>
                  </pic:blipFill>
                  <pic:spPr>
                    <a:xfrm>
                      <a:off x="0" y="0"/>
                      <a:ext cx="4968875" cy="109855"/>
                    </a:xfrm>
                    <a:prstGeom prst="rect">
                      <a:avLst/>
                    </a:prstGeom>
                    <a:noFill/>
                    <a:ln>
                      <a:noFill/>
                    </a:ln>
                  </pic:spPr>
                </pic:pic>
              </a:graphicData>
            </a:graphic>
          </wp:inline>
        </w:drawing>
      </w:r>
      <w:r>
        <w:rPr>
          <w:rFonts w:hint="eastAsia" w:asciiTheme="minorEastAsia" w:hAnsiTheme="minorEastAsia" w:eastAsiaTheme="minorEastAsia" w:cstheme="minorEastAsia"/>
          <w:sz w:val="20"/>
          <w:szCs w:val="20"/>
          <w:highlight w:val="none"/>
        </w:rPr>
        <w:fldChar w:fldCharType="end"/>
      </w:r>
      <w:r>
        <w:rPr>
          <w:rFonts w:hint="eastAsia" w:asciiTheme="minorEastAsia" w:hAnsiTheme="minorEastAsia" w:eastAsiaTheme="minorEastAsia" w:cstheme="minorEastAsia"/>
          <w:b/>
          <w:bCs/>
          <w:sz w:val="36"/>
          <w:szCs w:val="36"/>
          <w:highlight w:val="none"/>
        </w:rPr>
        <w:t xml:space="preserve"> </w:t>
      </w:r>
    </w:p>
    <w:p>
      <w:pPr>
        <w:pageBreakBefore w:val="0"/>
        <w:kinsoku/>
        <w:overflowPunct/>
        <w:bidi w:val="0"/>
        <w:spacing w:line="360" w:lineRule="auto"/>
        <w:ind w:firstLine="723" w:firstLineChars="200"/>
        <w:jc w:val="center"/>
        <w:textAlignment w:val="auto"/>
        <w:rPr>
          <w:rFonts w:hint="eastAsia" w:asciiTheme="minorEastAsia" w:hAnsiTheme="minorEastAsia" w:eastAsiaTheme="minorEastAsia" w:cstheme="minorEastAsia"/>
          <w:b/>
          <w:bCs/>
          <w:sz w:val="20"/>
          <w:szCs w:val="20"/>
          <w:highlight w:val="none"/>
        </w:rPr>
      </w:pPr>
      <w:r>
        <w:rPr>
          <w:rFonts w:hint="eastAsia" w:asciiTheme="minorEastAsia" w:hAnsiTheme="minorEastAsia" w:eastAsiaTheme="minorEastAsia" w:cstheme="minorEastAsia"/>
          <w:b/>
          <w:bCs/>
          <w:sz w:val="36"/>
          <w:szCs w:val="36"/>
          <w:highlight w:val="none"/>
        </w:rPr>
        <w:t>二零二</w:t>
      </w:r>
      <w:r>
        <w:rPr>
          <w:rFonts w:hint="eastAsia" w:asciiTheme="minorEastAsia" w:hAnsiTheme="minorEastAsia" w:eastAsiaTheme="minorEastAsia" w:cstheme="minorEastAsia"/>
          <w:b/>
          <w:bCs/>
          <w:sz w:val="36"/>
          <w:szCs w:val="36"/>
          <w:highlight w:val="none"/>
          <w:lang w:eastAsia="zh-CN"/>
        </w:rPr>
        <w:t>二</w:t>
      </w:r>
      <w:r>
        <w:rPr>
          <w:rFonts w:hint="eastAsia" w:asciiTheme="minorEastAsia" w:hAnsiTheme="minorEastAsia" w:eastAsiaTheme="minorEastAsia" w:cstheme="minorEastAsia"/>
          <w:b/>
          <w:bCs/>
          <w:sz w:val="36"/>
          <w:szCs w:val="36"/>
          <w:highlight w:val="none"/>
        </w:rPr>
        <w:t>年</w:t>
      </w:r>
      <w:r>
        <w:rPr>
          <w:rFonts w:hint="eastAsia" w:asciiTheme="minorEastAsia" w:hAnsiTheme="minorEastAsia" w:eastAsiaTheme="minorEastAsia" w:cstheme="minorEastAsia"/>
          <w:b/>
          <w:bCs/>
          <w:sz w:val="36"/>
          <w:szCs w:val="36"/>
          <w:highlight w:val="none"/>
          <w:lang w:val="en-US" w:eastAsia="zh-CN"/>
        </w:rPr>
        <w:t>十一</w:t>
      </w:r>
      <w:r>
        <w:rPr>
          <w:rFonts w:hint="eastAsia" w:asciiTheme="minorEastAsia" w:hAnsiTheme="minorEastAsia" w:eastAsiaTheme="minorEastAsia" w:cstheme="minorEastAsia"/>
          <w:b/>
          <w:bCs/>
          <w:sz w:val="36"/>
          <w:szCs w:val="36"/>
          <w:highlight w:val="none"/>
        </w:rPr>
        <w:t>月</w:t>
      </w:r>
    </w:p>
    <w:p>
      <w:pPr>
        <w:spacing w:before="240" w:beforeLines="100" w:line="360" w:lineRule="auto"/>
        <w:jc w:val="center"/>
        <w:rPr>
          <w:rFonts w:hint="eastAsia" w:asciiTheme="minorEastAsia" w:hAnsiTheme="minorEastAsia" w:eastAsiaTheme="minorEastAsia" w:cstheme="minorEastAsia"/>
          <w:b/>
          <w:color w:val="auto"/>
          <w:sz w:val="44"/>
          <w:szCs w:val="36"/>
          <w:highlight w:val="none"/>
        </w:rPr>
        <w:sectPr>
          <w:headerReference r:id="rId4" w:type="first"/>
          <w:footerReference r:id="rId6" w:type="first"/>
          <w:headerReference r:id="rId3" w:type="default"/>
          <w:footerReference r:id="rId5" w:type="default"/>
          <w:pgSz w:w="11907" w:h="16840"/>
          <w:pgMar w:top="1440" w:right="1080" w:bottom="1440" w:left="1080" w:header="1134" w:footer="1077" w:gutter="0"/>
          <w:pgNumType w:fmt="decimal" w:start="1"/>
          <w:cols w:space="720" w:num="1"/>
          <w:titlePg/>
          <w:docGrid w:linePitch="326" w:charSpace="0"/>
        </w:sectPr>
      </w:pPr>
    </w:p>
    <w:p>
      <w:pPr>
        <w:spacing w:before="240" w:beforeLines="100" w:line="360" w:lineRule="auto"/>
        <w:jc w:val="center"/>
        <w:rPr>
          <w:rFonts w:hint="eastAsia" w:asciiTheme="minorEastAsia" w:hAnsiTheme="minorEastAsia" w:eastAsiaTheme="minorEastAsia" w:cstheme="minorEastAsia"/>
          <w:b/>
          <w:color w:val="auto"/>
          <w:sz w:val="44"/>
          <w:szCs w:val="36"/>
          <w:highlight w:val="none"/>
        </w:rPr>
      </w:pPr>
      <w:r>
        <w:rPr>
          <w:rFonts w:hint="eastAsia" w:asciiTheme="minorEastAsia" w:hAnsiTheme="minorEastAsia" w:eastAsiaTheme="minorEastAsia" w:cstheme="minorEastAsia"/>
          <w:b/>
          <w:color w:val="auto"/>
          <w:sz w:val="44"/>
          <w:szCs w:val="36"/>
          <w:highlight w:val="none"/>
        </w:rPr>
        <w:t>目   录</w:t>
      </w:r>
    </w:p>
    <w:p>
      <w:pPr>
        <w:tabs>
          <w:tab w:val="left" w:pos="6793"/>
        </w:tabs>
        <w:spacing w:line="360" w:lineRule="auto"/>
        <w:jc w:val="left"/>
        <w:rPr>
          <w:rFonts w:hint="eastAsia" w:asciiTheme="minorEastAsia" w:hAnsiTheme="minorEastAsia" w:eastAsiaTheme="minorEastAsia" w:cstheme="minorEastAsia"/>
          <w:b/>
          <w:color w:val="auto"/>
          <w:sz w:val="44"/>
          <w:szCs w:val="36"/>
          <w:highlight w:val="none"/>
        </w:rPr>
      </w:pPr>
      <w:r>
        <w:rPr>
          <w:rFonts w:hint="eastAsia" w:asciiTheme="minorEastAsia" w:hAnsiTheme="minorEastAsia" w:eastAsiaTheme="minorEastAsia" w:cstheme="minorEastAsia"/>
          <w:b/>
          <w:color w:val="auto"/>
          <w:sz w:val="44"/>
          <w:szCs w:val="36"/>
          <w:highlight w:val="none"/>
        </w:rPr>
        <w:tab/>
      </w:r>
    </w:p>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TOC \o "1-3" \h \z \u </w:instrText>
      </w:r>
      <w:r>
        <w:rPr>
          <w:rFonts w:hint="eastAsia" w:asciiTheme="minorEastAsia" w:hAnsiTheme="minorEastAsia" w:eastAsiaTheme="minorEastAsia" w:cstheme="minorEastAsia"/>
          <w:color w:val="auto"/>
          <w:sz w:val="24"/>
          <w:highlight w:val="none"/>
        </w:rPr>
        <w:fldChar w:fldCharType="separate"/>
      </w:r>
    </w:p>
    <w:p>
      <w:pPr>
        <w:pStyle w:val="75"/>
        <w:tabs>
          <w:tab w:val="right" w:leader="dot" w:pos="9185"/>
        </w:tabs>
        <w:spacing w:line="480" w:lineRule="auto"/>
        <w:rPr>
          <w:rFonts w:hint="eastAsia" w:asciiTheme="minorEastAsia" w:hAnsiTheme="minorEastAsia" w:eastAsiaTheme="minorEastAsia" w:cstheme="minorEastAsia"/>
          <w:color w:val="auto"/>
          <w:sz w:val="28"/>
          <w:szCs w:val="28"/>
          <w:highlight w:val="none"/>
        </w:rPr>
      </w:pPr>
      <w:bookmarkStart w:id="2" w:name="_Toc9085_WPSOffice_Type1"/>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_Toc174_WPSOffice_Level1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第一章 招标公告</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rPr>
        <w:fldChar w:fldCharType="end"/>
      </w:r>
    </w:p>
    <w:p>
      <w:pPr>
        <w:pStyle w:val="75"/>
        <w:tabs>
          <w:tab w:val="right" w:leader="dot" w:pos="9185"/>
        </w:tabs>
        <w:spacing w:line="48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"_Toc24785_WPSOffice_Level1"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rPr>
        <w:t>第二章 投标人须知</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sz w:val="28"/>
          <w:szCs w:val="28"/>
          <w:highlight w:val="none"/>
        </w:rPr>
        <w:fldChar w:fldCharType="end"/>
      </w:r>
    </w:p>
    <w:p>
      <w:pPr>
        <w:pStyle w:val="75"/>
        <w:tabs>
          <w:tab w:val="right" w:leader="dot" w:pos="9185"/>
        </w:tabs>
        <w:spacing w:line="48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"_Toc3251_WPSOffice_Level1"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rPr>
        <w:t>第三章 评标细则</w:t>
      </w:r>
      <w:r>
        <w:rPr>
          <w:rFonts w:hint="eastAsia" w:asciiTheme="minorEastAsia" w:hAnsiTheme="minorEastAsia" w:eastAsiaTheme="minorEastAsia" w:cstheme="minorEastAsia"/>
          <w:color w:val="auto"/>
          <w:sz w:val="28"/>
          <w:szCs w:val="28"/>
          <w:highlight w:val="none"/>
        </w:rPr>
        <w:tab/>
      </w:r>
      <w:bookmarkStart w:id="3" w:name="_Toc3251_WPSOffice_Level1Page"/>
      <w:r>
        <w:rPr>
          <w:rFonts w:hint="eastAsia" w:asciiTheme="minorEastAsia" w:hAnsiTheme="minorEastAsia" w:eastAsiaTheme="minorEastAsia" w:cstheme="minorEastAsia"/>
          <w:color w:val="auto"/>
          <w:sz w:val="28"/>
          <w:szCs w:val="28"/>
          <w:highlight w:val="none"/>
        </w:rPr>
        <w:t>1</w:t>
      </w:r>
      <w:bookmarkEnd w:id="3"/>
      <w:r>
        <w:rPr>
          <w:rFonts w:hint="eastAsia" w:asciiTheme="minorEastAsia" w:hAnsiTheme="minorEastAsia" w:eastAsia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sz w:val="28"/>
          <w:szCs w:val="28"/>
          <w:highlight w:val="none"/>
        </w:rPr>
        <w:fldChar w:fldCharType="end"/>
      </w:r>
    </w:p>
    <w:p>
      <w:pPr>
        <w:pStyle w:val="75"/>
        <w:tabs>
          <w:tab w:val="right" w:leader="dot" w:pos="9185"/>
        </w:tabs>
        <w:spacing w:line="480" w:lineRule="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"_Toc27547_WPSOffice_Level1"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rPr>
        <w:t>第四章 合同文件</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lang w:val="en-US" w:eastAsia="zh-CN"/>
        </w:rPr>
        <w:t>2</w:t>
      </w:r>
    </w:p>
    <w:p>
      <w:pPr>
        <w:pStyle w:val="75"/>
        <w:tabs>
          <w:tab w:val="right" w:leader="dot" w:pos="9185"/>
        </w:tabs>
        <w:spacing w:line="480" w:lineRule="auto"/>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"_Toc4326_WPSOffice_Level1"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8"/>
          <w:szCs w:val="28"/>
          <w:highlight w:val="none"/>
        </w:rPr>
        <w:t>第五章 投标文件格式</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lang w:val="en-US" w:eastAsia="zh-CN"/>
        </w:rPr>
        <w:t>7</w:t>
      </w:r>
    </w:p>
    <w:p>
      <w:pPr>
        <w:pStyle w:val="75"/>
        <w:tabs>
          <w:tab w:val="right" w:leader="dot" w:pos="9185"/>
        </w:tabs>
        <w:spacing w:line="480" w:lineRule="auto"/>
        <w:rPr>
          <w:rFonts w:hint="eastAsia" w:asciiTheme="minorEastAsia" w:hAnsiTheme="minorEastAsia" w:eastAsiaTheme="minorEastAsia" w:cstheme="minorEastAsia"/>
          <w:color w:val="auto"/>
          <w:sz w:val="24"/>
          <w:szCs w:val="24"/>
          <w:highlight w:val="none"/>
        </w:rPr>
      </w:pPr>
    </w:p>
    <w:bookmarkEnd w:id="2"/>
    <w:p>
      <w:pPr>
        <w:pStyle w:val="75"/>
        <w:tabs>
          <w:tab w:val="right" w:leader="dot" w:pos="9185"/>
        </w:tabs>
        <w:spacing w:line="480" w:lineRule="auto"/>
        <w:rPr>
          <w:rFonts w:hint="eastAsia" w:asciiTheme="minorEastAsia" w:hAnsiTheme="minorEastAsia" w:eastAsiaTheme="minorEastAsia" w:cstheme="minorEastAsia"/>
          <w:color w:val="auto"/>
          <w:sz w:val="24"/>
          <w:szCs w:val="24"/>
          <w:highlight w:val="none"/>
        </w:rPr>
      </w:pPr>
    </w:p>
    <w:p>
      <w:pPr>
        <w:spacing w:line="480" w:lineRule="auto"/>
        <w:rPr>
          <w:rFonts w:hint="eastAsia" w:asciiTheme="minorEastAsia" w:hAnsiTheme="minorEastAsia" w:eastAsiaTheme="minorEastAsia" w:cstheme="minorEastAsia"/>
          <w:color w:val="auto"/>
          <w:highlight w:val="none"/>
        </w:rPr>
      </w:pPr>
    </w:p>
    <w:p>
      <w:pPr>
        <w:pStyle w:val="40"/>
        <w:spacing w:line="600" w:lineRule="auto"/>
        <w:ind w:left="0"/>
        <w:rPr>
          <w:rFonts w:hint="eastAsia" w:asciiTheme="minorEastAsia" w:hAnsiTheme="minorEastAsia" w:eastAsiaTheme="minorEastAsia" w:cstheme="minorEastAsia"/>
          <w:smallCaps w:val="0"/>
          <w:color w:val="auto"/>
          <w:sz w:val="32"/>
          <w:szCs w:val="32"/>
          <w:highlight w:val="none"/>
        </w:rPr>
      </w:pPr>
    </w:p>
    <w:p>
      <w:pPr>
        <w:pStyle w:val="40"/>
        <w:spacing w:line="440" w:lineRule="exact"/>
        <w:ind w:left="0"/>
        <w:rPr>
          <w:rFonts w:hint="eastAsia" w:asciiTheme="minorEastAsia" w:hAnsiTheme="minorEastAsia" w:eastAsiaTheme="minorEastAsia" w:cstheme="minorEastAsia"/>
          <w:color w:val="auto"/>
          <w:sz w:val="24"/>
          <w:highlight w:val="none"/>
          <w:u w:val="single"/>
        </w:rPr>
      </w:pPr>
    </w:p>
    <w:p>
      <w:pPr>
        <w:spacing w:line="400" w:lineRule="atLeast"/>
        <w:ind w:firstLine="402"/>
        <w:rPr>
          <w:rFonts w:hint="eastAsia" w:asciiTheme="minorEastAsia" w:hAnsiTheme="minorEastAsia" w:eastAsiaTheme="minorEastAsia" w:cstheme="minorEastAsia"/>
          <w:color w:val="auto"/>
          <w:sz w:val="24"/>
          <w:highlight w:val="none"/>
        </w:rPr>
        <w:sectPr>
          <w:footerReference r:id="rId8" w:type="first"/>
          <w:footerReference r:id="rId7" w:type="default"/>
          <w:pgSz w:w="11907" w:h="16840"/>
          <w:pgMar w:top="1440" w:right="1080" w:bottom="1440" w:left="1080" w:header="1134" w:footer="1077" w:gutter="0"/>
          <w:pgNumType w:fmt="decimal" w:start="1"/>
          <w:cols w:space="720" w:num="1"/>
          <w:docGrid w:linePitch="326" w:charSpace="0"/>
        </w:sectPr>
      </w:pPr>
      <w:r>
        <w:rPr>
          <w:rFonts w:hint="eastAsia" w:asciiTheme="minorEastAsia" w:hAnsiTheme="minorEastAsia" w:eastAsiaTheme="minorEastAsia" w:cstheme="minorEastAsia"/>
          <w:color w:val="auto"/>
          <w:sz w:val="24"/>
          <w:highlight w:val="none"/>
        </w:rPr>
        <w:fldChar w:fldCharType="end"/>
      </w:r>
      <w:bookmarkEnd w:id="1"/>
      <w:bookmarkStart w:id="4" w:name="_Toc259707282"/>
      <w:bookmarkStart w:id="5" w:name="_Toc174_WPSOffice_Level1"/>
      <w:bookmarkStart w:id="6" w:name="_Toc448154681"/>
    </w:p>
    <w:bookmarkEnd w:id="4"/>
    <w:bookmarkEnd w:id="5"/>
    <w:bookmarkEnd w:id="6"/>
    <w:p>
      <w:pPr>
        <w:pStyle w:val="8"/>
        <w:spacing w:line="400" w:lineRule="exact"/>
        <w:jc w:val="center"/>
        <w:rPr>
          <w:rFonts w:hint="eastAsia" w:ascii="黑体" w:eastAsia="黑体"/>
          <w:b w:val="0"/>
          <w:color w:val="auto"/>
          <w:szCs w:val="52"/>
          <w:highlight w:val="none"/>
        </w:rPr>
      </w:pPr>
      <w:r>
        <w:rPr>
          <w:rFonts w:hint="eastAsia" w:ascii="黑体" w:eastAsia="黑体"/>
          <w:b w:val="0"/>
          <w:color w:val="auto"/>
          <w:szCs w:val="52"/>
          <w:highlight w:val="none"/>
        </w:rPr>
        <w:t>第一章 招标公告</w:t>
      </w:r>
    </w:p>
    <w:p>
      <w:pPr>
        <w:bidi w:val="0"/>
        <w:jc w:val="center"/>
        <w:rPr>
          <w:rFonts w:hint="eastAsia" w:ascii="宋体" w:cs="宋体"/>
          <w:b/>
          <w:bCs/>
          <w:color w:val="auto"/>
          <w:sz w:val="36"/>
          <w:szCs w:val="36"/>
          <w:highlight w:val="none"/>
          <w:lang w:eastAsia="zh-CN" w:bidi="ar-SA"/>
        </w:rPr>
      </w:pPr>
      <w:r>
        <w:rPr>
          <w:rFonts w:hint="eastAsia"/>
          <w:b/>
          <w:bCs/>
          <w:color w:val="auto"/>
          <w:sz w:val="36"/>
          <w:szCs w:val="36"/>
          <w:highlight w:val="none"/>
          <w:lang w:eastAsia="zh-CN"/>
        </w:rPr>
        <w:t>平顶山东部客运枢纽站项目施工及监理</w:t>
      </w:r>
      <w:r>
        <w:rPr>
          <w:rFonts w:hint="eastAsia" w:ascii="宋体" w:cs="宋体"/>
          <w:b/>
          <w:bCs/>
          <w:color w:val="auto"/>
          <w:sz w:val="36"/>
          <w:szCs w:val="36"/>
          <w:highlight w:val="none"/>
          <w:lang w:eastAsia="zh-CN" w:bidi="ar-SA"/>
        </w:rPr>
        <w:t>-公开招标公告</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b w:val="0"/>
          <w:bCs w:val="0"/>
          <w:color w:val="auto"/>
          <w:sz w:val="21"/>
          <w:szCs w:val="21"/>
          <w:highlight w:val="none"/>
          <w:lang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b w:val="0"/>
          <w:bCs w:val="0"/>
          <w:color w:val="auto"/>
          <w:sz w:val="21"/>
          <w:szCs w:val="21"/>
          <w:highlight w:val="none"/>
          <w:lang w:eastAsia="zh-CN"/>
        </w:rPr>
      </w:pPr>
      <w:r>
        <w:rPr>
          <w:rFonts w:hint="eastAsia" w:ascii="宋体" w:hAnsi="宋体"/>
          <w:b w:val="0"/>
          <w:bCs w:val="0"/>
          <w:color w:val="auto"/>
          <w:sz w:val="21"/>
          <w:szCs w:val="21"/>
          <w:highlight w:val="none"/>
          <w:lang w:eastAsia="zh-CN"/>
        </w:rPr>
        <w:t>项目概况</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b w:val="0"/>
          <w:bCs w:val="0"/>
          <w:color w:val="auto"/>
          <w:sz w:val="21"/>
          <w:szCs w:val="21"/>
          <w:highlight w:val="none"/>
          <w:lang w:val="en-US" w:eastAsia="zh-CN"/>
        </w:rPr>
      </w:pPr>
      <w:r>
        <w:rPr>
          <w:rFonts w:hint="eastAsia" w:ascii="宋体" w:hAnsi="宋体" w:eastAsia="宋体"/>
          <w:b w:val="0"/>
          <w:bCs w:val="0"/>
          <w:color w:val="auto"/>
          <w:sz w:val="21"/>
          <w:szCs w:val="21"/>
          <w:highlight w:val="none"/>
          <w:lang w:val="en-US" w:eastAsia="zh-CN"/>
        </w:rPr>
        <w:t>河南财锐工程咨询服务有限公司受</w:t>
      </w:r>
      <w:r>
        <w:rPr>
          <w:rFonts w:hint="eastAsia" w:ascii="宋体" w:hAnsi="宋体"/>
          <w:b w:val="0"/>
          <w:bCs w:val="0"/>
          <w:color w:val="auto"/>
          <w:sz w:val="21"/>
          <w:szCs w:val="21"/>
          <w:highlight w:val="none"/>
          <w:lang w:val="en-US" w:eastAsia="zh-CN"/>
        </w:rPr>
        <w:t>平顶山交通水利建设投资有限公司</w:t>
      </w:r>
      <w:r>
        <w:rPr>
          <w:rFonts w:hint="eastAsia" w:ascii="宋体" w:hAnsi="宋体" w:eastAsia="宋体"/>
          <w:b w:val="0"/>
          <w:bCs w:val="0"/>
          <w:color w:val="auto"/>
          <w:sz w:val="21"/>
          <w:szCs w:val="21"/>
          <w:highlight w:val="none"/>
          <w:lang w:val="en-US" w:eastAsia="zh-CN"/>
        </w:rPr>
        <w:t>的委托，现对</w:t>
      </w:r>
      <w:r>
        <w:rPr>
          <w:rFonts w:hint="eastAsia" w:ascii="宋体" w:hAnsi="宋体"/>
          <w:b w:val="0"/>
          <w:bCs w:val="0"/>
          <w:color w:val="auto"/>
          <w:sz w:val="21"/>
          <w:szCs w:val="21"/>
          <w:highlight w:val="none"/>
          <w:lang w:val="en-US" w:eastAsia="zh-CN"/>
        </w:rPr>
        <w:t>平顶山东部客运枢纽站项目施工及监理</w:t>
      </w:r>
      <w:r>
        <w:rPr>
          <w:rFonts w:hint="eastAsia" w:ascii="宋体" w:hAnsi="宋体" w:eastAsia="宋体"/>
          <w:b w:val="0"/>
          <w:bCs w:val="0"/>
          <w:color w:val="auto"/>
          <w:sz w:val="21"/>
          <w:szCs w:val="21"/>
          <w:highlight w:val="none"/>
          <w:lang w:val="en-US" w:eastAsia="zh-CN"/>
        </w:rPr>
        <w:t>进行公开招标，欢迎符合条件的潜在投标人参加投标。潜在投标人应在平顶山市公共资源交易中心网(http://www.pdsggzy.com/)获取招标文件，并于20</w:t>
      </w:r>
      <w:r>
        <w:rPr>
          <w:rFonts w:hint="eastAsia" w:ascii="宋体" w:hAnsi="宋体"/>
          <w:b w:val="0"/>
          <w:bCs w:val="0"/>
          <w:color w:val="auto"/>
          <w:sz w:val="21"/>
          <w:szCs w:val="21"/>
          <w:highlight w:val="none"/>
          <w:lang w:val="en-US" w:eastAsia="zh-CN"/>
        </w:rPr>
        <w:t>22</w:t>
      </w:r>
      <w:r>
        <w:rPr>
          <w:rFonts w:hint="eastAsia" w:ascii="宋体" w:hAnsi="宋体" w:eastAsia="宋体"/>
          <w:b w:val="0"/>
          <w:bCs w:val="0"/>
          <w:color w:val="auto"/>
          <w:sz w:val="21"/>
          <w:szCs w:val="21"/>
          <w:highlight w:val="none"/>
          <w:lang w:val="en-US" w:eastAsia="zh-CN"/>
        </w:rPr>
        <w:t>年</w:t>
      </w:r>
      <w:r>
        <w:rPr>
          <w:rFonts w:hint="eastAsia" w:ascii="宋体" w:hAnsi="宋体"/>
          <w:b w:val="0"/>
          <w:bCs w:val="0"/>
          <w:color w:val="auto"/>
          <w:sz w:val="21"/>
          <w:szCs w:val="21"/>
          <w:highlight w:val="none"/>
          <w:lang w:val="en-US" w:eastAsia="zh-CN"/>
        </w:rPr>
        <w:t>11</w:t>
      </w:r>
      <w:r>
        <w:rPr>
          <w:rFonts w:hint="eastAsia" w:ascii="宋体" w:hAnsi="宋体" w:eastAsia="宋体"/>
          <w:b w:val="0"/>
          <w:bCs w:val="0"/>
          <w:color w:val="auto"/>
          <w:sz w:val="21"/>
          <w:szCs w:val="21"/>
          <w:highlight w:val="none"/>
          <w:lang w:val="en-US" w:eastAsia="zh-CN"/>
        </w:rPr>
        <w:t>月</w:t>
      </w:r>
      <w:r>
        <w:rPr>
          <w:rFonts w:hint="eastAsia" w:ascii="宋体" w:hAnsi="宋体"/>
          <w:b w:val="0"/>
          <w:bCs w:val="0"/>
          <w:color w:val="auto"/>
          <w:sz w:val="21"/>
          <w:szCs w:val="21"/>
          <w:highlight w:val="none"/>
          <w:lang w:val="en-US" w:eastAsia="zh-CN"/>
        </w:rPr>
        <w:t>22</w:t>
      </w:r>
      <w:r>
        <w:rPr>
          <w:rFonts w:hint="eastAsia" w:ascii="宋体" w:hAnsi="宋体" w:eastAsia="宋体"/>
          <w:b w:val="0"/>
          <w:bCs w:val="0"/>
          <w:color w:val="auto"/>
          <w:sz w:val="21"/>
          <w:szCs w:val="21"/>
          <w:highlight w:val="none"/>
          <w:lang w:val="en-US" w:eastAsia="zh-CN"/>
        </w:rPr>
        <w:t>日</w:t>
      </w:r>
      <w:r>
        <w:rPr>
          <w:rFonts w:hint="eastAsia" w:ascii="宋体" w:hAnsi="宋体"/>
          <w:b w:val="0"/>
          <w:bCs w:val="0"/>
          <w:color w:val="auto"/>
          <w:sz w:val="21"/>
          <w:szCs w:val="21"/>
          <w:highlight w:val="none"/>
          <w:lang w:val="en-US" w:eastAsia="zh-CN"/>
        </w:rPr>
        <w:t>0</w:t>
      </w:r>
      <w:r>
        <w:rPr>
          <w:rFonts w:hint="eastAsia" w:ascii="宋体" w:hAnsi="宋体" w:eastAsia="宋体"/>
          <w:b w:val="0"/>
          <w:bCs w:val="0"/>
          <w:color w:val="auto"/>
          <w:sz w:val="21"/>
          <w:szCs w:val="21"/>
          <w:highlight w:val="none"/>
          <w:lang w:val="en-US" w:eastAsia="zh-CN"/>
        </w:rPr>
        <w:t>9时00分（北京时间）前递交投标文件。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 xml:space="preserve">一、项目基本情况：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、项目名称：平顶山东部客运枢纽站项目施工及监理</w:t>
      </w:r>
    </w:p>
    <w:p>
      <w:pPr>
        <w:pageBreakBefore w:val="0"/>
        <w:kinsoku/>
        <w:overflowPunct/>
        <w:bidi w:val="0"/>
        <w:spacing w:line="360" w:lineRule="auto"/>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、项目编号：PJS-2022-01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3、采购方式：公开招标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4、预算金额：</w:t>
      </w:r>
      <w:r>
        <w:rPr>
          <w:rFonts w:hint="eastAsia" w:ascii="宋体" w:hAnsi="宋体" w:cs="宋体"/>
          <w:color w:val="auto"/>
          <w:sz w:val="21"/>
          <w:szCs w:val="21"/>
          <w:highlight w:val="none"/>
          <w:lang w:val="en-US" w:eastAsia="zh-CN"/>
        </w:rPr>
        <w:t>135672719.31</w:t>
      </w:r>
      <w:r>
        <w:rPr>
          <w:rFonts w:hint="eastAsia" w:ascii="宋体" w:hAnsi="宋体" w:eastAsia="宋体" w:cs="宋体"/>
          <w:b w:val="0"/>
          <w:bCs w:val="0"/>
          <w:color w:val="auto"/>
          <w:sz w:val="21"/>
          <w:szCs w:val="21"/>
          <w:highlight w:val="none"/>
          <w:lang w:val="en-US" w:eastAsia="zh-CN"/>
        </w:rPr>
        <w:t>元</w:t>
      </w:r>
      <w:r>
        <w:rPr>
          <w:rFonts w:hint="eastAsia" w:ascii="宋体" w:hAnsi="宋体" w:eastAsia="宋体" w:cs="宋体"/>
          <w:color w:val="auto"/>
          <w:sz w:val="21"/>
          <w:szCs w:val="21"/>
          <w:highlight w:val="none"/>
          <w:lang w:val="en-US" w:eastAsia="zh-CN"/>
        </w:rPr>
        <w:t xml:space="preserve"> </w:t>
      </w:r>
    </w:p>
    <w:tbl>
      <w:tblPr>
        <w:tblStyle w:val="47"/>
        <w:tblW w:w="9258" w:type="dxa"/>
        <w:tblCellSpacing w:w="0" w:type="dxa"/>
        <w:tblInd w:w="-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4"/>
        <w:gridCol w:w="1880"/>
        <w:gridCol w:w="2235"/>
        <w:gridCol w:w="2417"/>
        <w:gridCol w:w="20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tblCellSpacing w:w="0" w:type="dxa"/>
        </w:trPr>
        <w:tc>
          <w:tcPr>
            <w:tcW w:w="704" w:type="dxa"/>
            <w:tcBorders>
              <w:top w:val="single" w:color="auto" w:sz="4" w:space="0"/>
              <w:lef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序号</w:t>
            </w:r>
          </w:p>
        </w:tc>
        <w:tc>
          <w:tcPr>
            <w:tcW w:w="1880"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包号</w:t>
            </w:r>
          </w:p>
        </w:tc>
        <w:tc>
          <w:tcPr>
            <w:tcW w:w="2235"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包名称</w:t>
            </w:r>
          </w:p>
        </w:tc>
        <w:tc>
          <w:tcPr>
            <w:tcW w:w="2417" w:type="dxa"/>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包预算（元）</w:t>
            </w:r>
          </w:p>
        </w:tc>
        <w:tc>
          <w:tcPr>
            <w:tcW w:w="2022" w:type="dxa"/>
            <w:tcBorders>
              <w:top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tblCellSpacing w:w="0" w:type="dxa"/>
        </w:trPr>
        <w:tc>
          <w:tcPr>
            <w:tcW w:w="704" w:type="dxa"/>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1</w:t>
            </w:r>
          </w:p>
        </w:tc>
        <w:tc>
          <w:tcPr>
            <w:tcW w:w="18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1</w:t>
            </w: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施工标</w:t>
            </w:r>
          </w:p>
        </w:tc>
        <w:tc>
          <w:tcPr>
            <w:tcW w:w="24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val="0"/>
                <w:bCs w:val="0"/>
                <w:color w:val="auto"/>
                <w:kern w:val="0"/>
                <w:sz w:val="21"/>
                <w:szCs w:val="21"/>
                <w:highlight w:val="none"/>
                <w:u w:val="none"/>
                <w:lang w:bidi="ar-SA"/>
              </w:rPr>
            </w:pPr>
            <w:r>
              <w:rPr>
                <w:rFonts w:hint="eastAsia" w:asciiTheme="majorEastAsia" w:hAnsiTheme="majorEastAsia" w:eastAsiaTheme="majorEastAsia" w:cstheme="majorEastAsia"/>
                <w:b w:val="0"/>
                <w:bCs w:val="0"/>
                <w:color w:val="auto"/>
                <w:sz w:val="21"/>
                <w:szCs w:val="21"/>
                <w:highlight w:val="none"/>
                <w:u w:val="none"/>
                <w:lang w:val="en-US" w:eastAsia="zh-CN"/>
              </w:rPr>
              <w:t>133352719.31</w:t>
            </w:r>
          </w:p>
        </w:tc>
        <w:tc>
          <w:tcPr>
            <w:tcW w:w="2022" w:type="dxa"/>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val="0"/>
                <w:bCs w:val="0"/>
                <w:color w:val="auto"/>
                <w:kern w:val="0"/>
                <w:sz w:val="21"/>
                <w:szCs w:val="21"/>
                <w:highlight w:val="none"/>
                <w:u w:val="none"/>
                <w:lang w:bidi="ar-SA"/>
              </w:rPr>
            </w:pPr>
            <w:r>
              <w:rPr>
                <w:rFonts w:hint="eastAsia" w:asciiTheme="majorEastAsia" w:hAnsiTheme="majorEastAsia" w:eastAsiaTheme="majorEastAsia" w:cstheme="majorEastAsia"/>
                <w:b w:val="0"/>
                <w:bCs w:val="0"/>
                <w:color w:val="auto"/>
                <w:sz w:val="21"/>
                <w:szCs w:val="21"/>
                <w:highlight w:val="none"/>
                <w:u w:val="none"/>
                <w:lang w:val="en-US" w:eastAsia="zh-CN"/>
              </w:rPr>
              <w:t>133352719.31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blCellSpacing w:w="0" w:type="dxa"/>
        </w:trPr>
        <w:tc>
          <w:tcPr>
            <w:tcW w:w="704" w:type="dxa"/>
            <w:tcBorders>
              <w:left w:val="single" w:color="auto" w:sz="4" w:space="0"/>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2</w:t>
            </w:r>
          </w:p>
        </w:tc>
        <w:tc>
          <w:tcPr>
            <w:tcW w:w="18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2</w:t>
            </w:r>
          </w:p>
        </w:tc>
        <w:tc>
          <w:tcPr>
            <w:tcW w:w="2235"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bidi="ar-SA"/>
              </w:rPr>
            </w:pPr>
            <w:r>
              <w:rPr>
                <w:rFonts w:hint="eastAsia" w:asciiTheme="majorEastAsia" w:hAnsiTheme="majorEastAsia" w:eastAsiaTheme="majorEastAsia" w:cstheme="majorEastAsia"/>
                <w:color w:val="auto"/>
                <w:kern w:val="0"/>
                <w:sz w:val="21"/>
                <w:szCs w:val="21"/>
                <w:highlight w:val="none"/>
                <w:lang w:bidi="ar-SA"/>
              </w:rPr>
              <w:t>监理标</w:t>
            </w:r>
          </w:p>
        </w:tc>
        <w:tc>
          <w:tcPr>
            <w:tcW w:w="2417"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bidi="ar-SA"/>
              </w:rPr>
              <w:t>2320000.00</w:t>
            </w:r>
          </w:p>
        </w:tc>
        <w:tc>
          <w:tcPr>
            <w:tcW w:w="2022" w:type="dxa"/>
            <w:tcBorders>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bidi="ar-SA"/>
              </w:rPr>
              <w:t>2320000.00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1）项目概况</w:t>
      </w:r>
      <w:r>
        <w:rPr>
          <w:rFonts w:hint="eastAsia" w:ascii="宋体" w:hAnsi="宋体" w:cs="宋体"/>
          <w:color w:val="auto"/>
          <w:sz w:val="21"/>
          <w:szCs w:val="21"/>
          <w:highlight w:val="none"/>
          <w:lang w:val="en-US" w:eastAsia="zh-CN"/>
        </w:rPr>
        <w:t>及内容</w:t>
      </w:r>
      <w:r>
        <w:rPr>
          <w:rFonts w:hint="eastAsia" w:ascii="宋体" w:hAnsi="宋体" w:eastAsia="宋体" w:cs="宋体"/>
          <w:color w:val="auto"/>
          <w:sz w:val="21"/>
          <w:szCs w:val="21"/>
          <w:highlight w:val="none"/>
          <w:lang w:val="en-US" w:eastAsia="zh-CN"/>
        </w:rPr>
        <w:t>：平顶山东部客运枢纽站项目平顶山市卫东区，许南路（国道234、昆阳大道）与建设路交叉口向北300m</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总用地面积94361.84㎡、总建筑面积24906.66㎡，其中，客运站场建筑面积15452.12㎡、公交站场建筑面积1451.75㎡、人防地下室建筑面积1993.23㎡、车辆维护中心区建筑面积5534.56㎡、加油加气点区域建筑面积475.00㎡、智慧交通中心楼共九层，建筑高度39.20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2）标段划分：本项目共划分为2个标段：第一标段：施工标；第二标段：监理标；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zh-CN" w:eastAsia="zh-CN"/>
        </w:rPr>
        <w:t>资金来源</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val="0"/>
          <w:bCs w:val="0"/>
          <w:color w:val="auto"/>
          <w:sz w:val="21"/>
          <w:szCs w:val="21"/>
          <w:highlight w:val="none"/>
          <w:lang w:val="en-US" w:eastAsia="zh-CN"/>
        </w:rPr>
        <w:t>自筹资金</w:t>
      </w:r>
      <w:r>
        <w:rPr>
          <w:rFonts w:hint="eastAsia" w:ascii="宋体" w:hAnsi="宋体" w:eastAsia="宋体" w:cs="宋体"/>
          <w:color w:val="auto"/>
          <w:kern w:val="0"/>
          <w:sz w:val="21"/>
          <w:szCs w:val="21"/>
          <w:highlight w:val="none"/>
          <w:lang w:val="zh-CN" w:eastAsia="zh-CN" w:bidi="ar-SA"/>
        </w:rPr>
        <w:t>，已落实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lang w:val="zh-CN" w:eastAsia="zh-CN"/>
        </w:rPr>
        <w:t>4）施工工期</w:t>
      </w:r>
      <w:r>
        <w:rPr>
          <w:rFonts w:hint="eastAsia" w:ascii="宋体" w:hAnsi="宋体" w:cs="宋体"/>
          <w:color w:val="auto"/>
          <w:sz w:val="21"/>
          <w:szCs w:val="21"/>
          <w:highlight w:val="none"/>
          <w:lang w:val="zh-CN" w:eastAsia="zh-CN"/>
        </w:rPr>
        <w:t>及</w:t>
      </w:r>
      <w:r>
        <w:rPr>
          <w:rFonts w:hint="eastAsia" w:ascii="宋体" w:hAnsi="宋体" w:eastAsia="宋体" w:cs="宋体"/>
          <w:color w:val="auto"/>
          <w:sz w:val="21"/>
          <w:szCs w:val="21"/>
          <w:highlight w:val="none"/>
          <w:lang w:val="zh-CN" w:eastAsia="zh-CN"/>
        </w:rPr>
        <w:t>质量要求</w:t>
      </w:r>
      <w:r>
        <w:rPr>
          <w:rFonts w:hint="eastAsia" w:ascii="宋体" w:hAnsi="宋体" w:cs="宋体"/>
          <w:color w:val="auto"/>
          <w:sz w:val="21"/>
          <w:szCs w:val="21"/>
          <w:highlight w:val="none"/>
          <w:lang w:val="en-US" w:eastAsia="zh-CN"/>
        </w:rPr>
        <w:t xml:space="preserve">：施工工期 </w:t>
      </w:r>
      <w:r>
        <w:rPr>
          <w:rFonts w:hint="eastAsia" w:ascii="宋体" w:hAnsi="宋体" w:cs="宋体"/>
          <w:color w:val="auto"/>
          <w:sz w:val="21"/>
          <w:szCs w:val="21"/>
          <w:highlight w:val="none"/>
          <w:u w:val="single"/>
          <w:lang w:val="en-US" w:eastAsia="zh-CN"/>
        </w:rPr>
        <w:t xml:space="preserve"> 720</w:t>
      </w:r>
      <w:r>
        <w:rPr>
          <w:rFonts w:hint="eastAsia" w:ascii="宋体" w:hAnsi="宋体" w:cs="宋体"/>
          <w:color w:val="auto"/>
          <w:sz w:val="21"/>
          <w:szCs w:val="21"/>
          <w:highlight w:val="none"/>
          <w:u w:val="none"/>
          <w:lang w:val="en-US" w:eastAsia="zh-CN"/>
        </w:rPr>
        <w:t>日历天，合格；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）监理工期控制目标及质量控制目标：本项目施工及保修阶段全过程监理，合格工程；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highlight w:val="none"/>
          <w:lang w:val="zh-CN" w:eastAsia="zh-CN"/>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eastAsia="zh-CN"/>
        </w:rPr>
        <w:t>）招标范围</w:t>
      </w:r>
      <w:r>
        <w:rPr>
          <w:rFonts w:hint="eastAsia" w:ascii="宋体" w:hAnsi="宋体" w:cs="宋体"/>
          <w:color w:val="auto"/>
          <w:sz w:val="21"/>
          <w:szCs w:val="21"/>
          <w:highlight w:val="none"/>
          <w:lang w:val="zh-CN" w:eastAsia="zh-CN"/>
        </w:rPr>
        <w:t>：（包括项目概况中的全部内容）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cs="宋体"/>
          <w:color w:val="auto"/>
          <w:sz w:val="21"/>
          <w:szCs w:val="21"/>
          <w:highlight w:val="none"/>
          <w:lang w:val="zh-CN" w:eastAsia="zh-CN"/>
        </w:rPr>
        <w:t>第一标段：</w:t>
      </w:r>
      <w:r>
        <w:rPr>
          <w:rFonts w:hint="eastAsia" w:ascii="宋体" w:hAnsi="宋体" w:eastAsia="宋体" w:cs="宋体"/>
          <w:color w:val="auto"/>
          <w:sz w:val="21"/>
          <w:szCs w:val="21"/>
          <w:highlight w:val="none"/>
          <w:lang w:val="en-US" w:eastAsia="zh-CN"/>
        </w:rPr>
        <w:t>图纸及工程量清单范围内的所有内容</w:t>
      </w:r>
      <w:r>
        <w:rPr>
          <w:rFonts w:hint="eastAsia" w:ascii="宋体" w:hAnsi="宋体" w:eastAsia="宋体" w:cs="宋体"/>
          <w:color w:val="auto"/>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第二标段：本项目施工及质量保修阶段的监理服务。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zh-CN" w:eastAsia="zh-CN"/>
        </w:rPr>
      </w:pPr>
      <w:r>
        <w:rPr>
          <w:rFonts w:hint="eastAsia" w:ascii="宋体" w:hAnsi="宋体" w:eastAsia="宋体" w:cs="宋体"/>
          <w:b/>
          <w:bCs/>
          <w:color w:val="auto"/>
          <w:sz w:val="21"/>
          <w:szCs w:val="21"/>
          <w:highlight w:val="none"/>
          <w:lang w:val="en-US" w:eastAsia="zh-CN"/>
        </w:rPr>
        <w:t xml:space="preserve">二、申请人资格要求： </w:t>
      </w:r>
    </w:p>
    <w:p>
      <w:pPr>
        <w:keepNext w:val="0"/>
        <w:keepLines w:val="0"/>
        <w:pageBreakBefore w:val="0"/>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宋体"/>
          <w:b/>
          <w:bCs/>
          <w:color w:val="auto"/>
          <w:sz w:val="21"/>
          <w:szCs w:val="21"/>
          <w:highlight w:val="none"/>
          <w:lang w:val="zh-CN" w:eastAsia="zh-CN"/>
        </w:rPr>
      </w:pP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zh-CN" w:eastAsia="zh-CN"/>
        </w:rPr>
        <w:t>）第一标段资格要求：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1.1投标人在中华人民共和国境内注册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具有独立法人资格，持有有效的营业执照、税务登记证、组织机构代码证（或三证合一营业执照）</w:t>
      </w:r>
      <w:r>
        <w:rPr>
          <w:rFonts w:hint="eastAsia" w:ascii="宋体" w:hAnsi="宋体" w:eastAsia="宋体" w:cs="宋体"/>
          <w:color w:val="auto"/>
          <w:sz w:val="21"/>
          <w:szCs w:val="21"/>
          <w:highlight w:val="none"/>
          <w:lang w:eastAsia="zh-CN"/>
        </w:rPr>
        <w:t>。</w:t>
      </w:r>
    </w:p>
    <w:p>
      <w:pPr>
        <w:pStyle w:val="295"/>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ighlight w:val="none"/>
          <w:lang w:eastAsia="zh-CN"/>
        </w:rPr>
      </w:pPr>
      <w:r>
        <w:rPr>
          <w:rFonts w:hint="eastAsia" w:ascii="宋体" w:hAnsi="宋体"/>
          <w:szCs w:val="21"/>
          <w:highlight w:val="none"/>
          <w:lang w:val="en-US" w:eastAsia="zh-CN"/>
        </w:rPr>
        <w:t>1.2</w:t>
      </w:r>
      <w:r>
        <w:rPr>
          <w:rFonts w:hint="eastAsia" w:ascii="宋体" w:hAnsi="宋体"/>
          <w:szCs w:val="21"/>
          <w:highlight w:val="none"/>
        </w:rPr>
        <w:t>资格要求：</w:t>
      </w:r>
      <w:r>
        <w:rPr>
          <w:rFonts w:hint="eastAsia" w:ascii="宋体" w:hAnsi="宋体"/>
          <w:szCs w:val="21"/>
          <w:highlight w:val="none"/>
          <w:lang w:eastAsia="zh-CN"/>
        </w:rPr>
        <w:t>投标人应</w:t>
      </w:r>
      <w:r>
        <w:rPr>
          <w:rFonts w:hint="eastAsia" w:ascii="宋体" w:hAnsi="宋体"/>
          <w:szCs w:val="21"/>
          <w:highlight w:val="none"/>
        </w:rPr>
        <w:t>具备国家建设行政主管部门颁发的建筑工程施工总承包</w:t>
      </w:r>
      <w:r>
        <w:rPr>
          <w:rFonts w:hint="eastAsia" w:ascii="宋体" w:hAnsi="宋体"/>
          <w:szCs w:val="21"/>
          <w:highlight w:val="none"/>
          <w:lang w:eastAsia="zh-CN"/>
        </w:rPr>
        <w:t>叁</w:t>
      </w:r>
      <w:r>
        <w:rPr>
          <w:rFonts w:hint="eastAsia" w:ascii="宋体" w:hAnsi="宋体"/>
          <w:szCs w:val="21"/>
          <w:highlight w:val="none"/>
        </w:rPr>
        <w:t>级（含）及以上资质和有效的企业安全生产许可证；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color w:val="auto"/>
          <w:highlight w:val="none"/>
        </w:rPr>
        <w:t>投标人拟派项目经理须具有建筑工程专业二级及以上注册建造师资格及有效</w:t>
      </w:r>
      <w:r>
        <w:rPr>
          <w:rFonts w:hint="eastAsia"/>
          <w:color w:val="auto"/>
          <w:highlight w:val="none"/>
          <w:lang w:val="en-US" w:eastAsia="zh-CN"/>
        </w:rPr>
        <w:t>期内</w:t>
      </w:r>
      <w:r>
        <w:rPr>
          <w:rFonts w:hint="eastAsia"/>
          <w:color w:val="auto"/>
          <w:highlight w:val="none"/>
        </w:rPr>
        <w:t>的安全生产考核合格证，且无在建工程，项目经理在投标及施工过程中不得更换</w:t>
      </w:r>
      <w:r>
        <w:rPr>
          <w:rFonts w:hint="eastAsia" w:ascii="宋体" w:hAnsi="宋体" w:eastAsia="宋体" w:cs="宋体"/>
          <w:szCs w:val="21"/>
          <w:highlight w:val="none"/>
        </w:rPr>
        <w:t>（提供项目经理无在建工程承诺书</w:t>
      </w:r>
      <w:r>
        <w:rPr>
          <w:rFonts w:hint="eastAsia"/>
          <w:color w:val="auto"/>
          <w:highlight w:val="none"/>
        </w:rPr>
        <w:t>及不更换承诺</w:t>
      </w:r>
      <w:r>
        <w:rPr>
          <w:rFonts w:hint="eastAsia" w:asciiTheme="minorEastAsia" w:hAnsiTheme="minorEastAsia" w:eastAsiaTheme="minorEastAsia" w:cstheme="minorEastAsia"/>
          <w:color w:val="auto"/>
          <w:highlight w:val="none"/>
        </w:rPr>
        <w:t>书</w:t>
      </w:r>
      <w:r>
        <w:rPr>
          <w:rFonts w:hint="eastAsia" w:asciiTheme="minorEastAsia" w:hAnsiTheme="minorEastAsia" w:eastAsiaTheme="minorEastAsia" w:cstheme="minorEastAsia"/>
          <w:szCs w:val="21"/>
          <w:highlight w:val="none"/>
        </w:rPr>
        <w:t>，格式自拟）；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投标人拟派</w:t>
      </w:r>
      <w:r>
        <w:rPr>
          <w:rFonts w:hint="eastAsia" w:asciiTheme="minorEastAsia" w:hAnsiTheme="minorEastAsia" w:eastAsiaTheme="minorEastAsia" w:cstheme="minorEastAsia"/>
          <w:color w:val="auto"/>
          <w:highlight w:val="none"/>
          <w:lang w:eastAsia="zh-CN"/>
        </w:rPr>
        <w:t>项目</w:t>
      </w:r>
      <w:r>
        <w:rPr>
          <w:rFonts w:hint="eastAsia" w:asciiTheme="minorEastAsia" w:hAnsiTheme="minorEastAsia" w:eastAsiaTheme="minorEastAsia" w:cstheme="minorEastAsia"/>
          <w:color w:val="auto"/>
          <w:highlight w:val="none"/>
        </w:rPr>
        <w:t>技术负责人须具有相关专业中级及以上技术职称证书</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提供</w:t>
      </w:r>
      <w:r>
        <w:rPr>
          <w:rFonts w:hint="eastAsia" w:asciiTheme="minorEastAsia" w:hAnsiTheme="minorEastAsia" w:eastAsiaTheme="minorEastAsia" w:cstheme="minorEastAsia"/>
          <w:color w:val="auto"/>
          <w:highlight w:val="none"/>
        </w:rPr>
        <w:t>网页查询截图及查询方式</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投标人参与本项目建设的施工员（建筑工程专业）、材料员、资料员、质检（量）员（建筑工程专业）应持有相应岗位资格证书,专职安全员应具有主管部门颁发的安全生产考核合格证</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以上证书均需在</w:t>
      </w:r>
      <w:r>
        <w:rPr>
          <w:rFonts w:hint="eastAsia" w:asciiTheme="minorEastAsia" w:hAnsiTheme="minorEastAsia" w:eastAsiaTheme="minorEastAsia" w:cstheme="minorEastAsia"/>
          <w:color w:val="auto"/>
          <w:sz w:val="21"/>
          <w:szCs w:val="21"/>
          <w:highlight w:val="none"/>
          <w:lang w:eastAsia="zh-CN"/>
        </w:rPr>
        <w:t>有效</w:t>
      </w:r>
      <w:r>
        <w:rPr>
          <w:rFonts w:hint="eastAsia" w:asciiTheme="minorEastAsia" w:hAnsiTheme="minorEastAsia" w:eastAsiaTheme="minorEastAsia" w:cstheme="minorEastAsia"/>
          <w:color w:val="auto"/>
          <w:sz w:val="21"/>
          <w:szCs w:val="21"/>
          <w:highlight w:val="none"/>
          <w:lang w:val="en-US" w:eastAsia="zh-CN"/>
        </w:rPr>
        <w:t>期内</w:t>
      </w:r>
      <w:r>
        <w:rPr>
          <w:rFonts w:hint="eastAsia" w:asciiTheme="minorEastAsia" w:hAnsiTheme="minorEastAsia" w:eastAsiaTheme="minorEastAsia" w:cstheme="minorEastAsia"/>
          <w:color w:val="auto"/>
          <w:sz w:val="21"/>
          <w:szCs w:val="21"/>
          <w:highlight w:val="none"/>
          <w:lang w:eastAsia="zh-CN"/>
        </w:rPr>
        <w:t>且可查询，并提供网上查询页面</w:t>
      </w:r>
      <w:r>
        <w:rPr>
          <w:rFonts w:hint="eastAsia" w:asciiTheme="minorEastAsia" w:hAnsiTheme="minorEastAsia" w:eastAsiaTheme="minorEastAsia" w:cstheme="minorEastAsia"/>
          <w:color w:val="auto"/>
          <w:sz w:val="21"/>
          <w:szCs w:val="21"/>
          <w:highlight w:val="none"/>
          <w:lang w:val="en-US" w:eastAsia="zh-CN"/>
        </w:rPr>
        <w:t>截图</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投标人拟派本项目的项目经理、技术负责人、施工员、材料员、资料员、质检（量）员、专职安全员和委托代理人须为本单位的正式员工（提供人员劳动合同及投标人在当地社保部门为其缴纳的</w:t>
      </w:r>
      <w:r>
        <w:rPr>
          <w:rFonts w:hint="eastAsia" w:asciiTheme="minorEastAsia" w:hAnsiTheme="minorEastAsia" w:eastAsiaTheme="minorEastAsia" w:cstheme="minorEastAsia"/>
          <w:color w:val="auto"/>
          <w:sz w:val="21"/>
          <w:szCs w:val="21"/>
          <w:highlight w:val="none"/>
          <w:lang w:eastAsia="zh-CN"/>
        </w:rPr>
        <w:t>2022</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月以来</w:t>
      </w:r>
      <w:r>
        <w:rPr>
          <w:rFonts w:hint="eastAsia" w:asciiTheme="minorEastAsia" w:hAnsiTheme="minorEastAsia" w:eastAsiaTheme="minorEastAsia" w:cstheme="minorEastAsia"/>
          <w:color w:val="auto"/>
          <w:sz w:val="21"/>
          <w:szCs w:val="21"/>
          <w:highlight w:val="none"/>
          <w:lang w:eastAsia="zh-CN"/>
        </w:rPr>
        <w:t>连续三个月</w:t>
      </w:r>
      <w:r>
        <w:rPr>
          <w:rFonts w:hint="eastAsia" w:asciiTheme="minorEastAsia" w:hAnsiTheme="minorEastAsia" w:eastAsiaTheme="minorEastAsia" w:cstheme="minorEastAsia"/>
          <w:color w:val="auto"/>
          <w:sz w:val="21"/>
          <w:szCs w:val="21"/>
          <w:highlight w:val="none"/>
        </w:rPr>
        <w:t>的养老保险证明）。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7投标人</w:t>
      </w:r>
      <w:r>
        <w:rPr>
          <w:rFonts w:hint="eastAsia" w:asciiTheme="minorEastAsia" w:hAnsiTheme="minorEastAsia" w:eastAsiaTheme="minorEastAsia" w:cstheme="minorEastAsia"/>
          <w:color w:val="auto"/>
          <w:sz w:val="21"/>
          <w:szCs w:val="21"/>
          <w:highlight w:val="none"/>
        </w:rPr>
        <w:t>具有良好的商业信誉和健全的财务会计制度（提供</w:t>
      </w:r>
      <w:r>
        <w:rPr>
          <w:rFonts w:hint="eastAsia" w:asciiTheme="minorEastAsia" w:hAnsiTheme="minorEastAsia" w:eastAsiaTheme="minorEastAsia" w:cstheme="minorEastAsia"/>
          <w:color w:val="auto"/>
          <w:sz w:val="21"/>
          <w:szCs w:val="21"/>
          <w:highlight w:val="none"/>
          <w:lang w:eastAsia="zh-CN"/>
        </w:rPr>
        <w:t>2019、2020、2021</w:t>
      </w:r>
      <w:r>
        <w:rPr>
          <w:rFonts w:hint="eastAsia" w:asciiTheme="minorEastAsia" w:hAnsiTheme="minorEastAsia" w:eastAsiaTheme="minorEastAsia" w:cstheme="minorEastAsia"/>
          <w:color w:val="auto"/>
          <w:sz w:val="21"/>
          <w:szCs w:val="21"/>
          <w:highlight w:val="none"/>
        </w:rPr>
        <w:t>年度经审计的财务</w:t>
      </w:r>
      <w:r>
        <w:rPr>
          <w:rFonts w:hint="eastAsia" w:asciiTheme="minorEastAsia" w:hAnsiTheme="minorEastAsia" w:eastAsiaTheme="minorEastAsia" w:cstheme="minorEastAsia"/>
          <w:color w:val="auto"/>
          <w:sz w:val="21"/>
          <w:szCs w:val="21"/>
          <w:highlight w:val="none"/>
          <w:lang w:val="en-US" w:eastAsia="zh-CN"/>
        </w:rPr>
        <w:t>审计报告</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若投标人为新成立企业，提供自注册年度后的经审计的财务报</w:t>
      </w:r>
      <w:r>
        <w:rPr>
          <w:rFonts w:hint="eastAsia" w:asciiTheme="minorEastAsia" w:hAnsiTheme="minorEastAsia" w:eastAsiaTheme="minorEastAsia" w:cstheme="minorEastAsia"/>
          <w:color w:val="auto"/>
          <w:sz w:val="21"/>
          <w:szCs w:val="21"/>
          <w:highlight w:val="none"/>
          <w:lang w:val="en-US" w:eastAsia="zh-CN"/>
        </w:rPr>
        <w:t>告</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若投标人</w:t>
      </w:r>
      <w:r>
        <w:rPr>
          <w:rFonts w:hint="eastAsia" w:asciiTheme="minorEastAsia" w:hAnsiTheme="minorEastAsia" w:eastAsiaTheme="minorEastAsia" w:cstheme="minorEastAsia"/>
          <w:color w:val="auto"/>
          <w:sz w:val="21"/>
          <w:szCs w:val="21"/>
          <w:highlight w:val="none"/>
          <w:lang w:val="en-US" w:eastAsia="zh-CN"/>
        </w:rPr>
        <w:t>成立时间不足以提供财务报告，提供</w:t>
      </w:r>
      <w:r>
        <w:rPr>
          <w:rFonts w:hint="eastAsia" w:ascii="宋体" w:hAnsi="宋体" w:eastAsia="宋体" w:cs="宋体"/>
          <w:color w:val="auto"/>
          <w:sz w:val="21"/>
          <w:szCs w:val="21"/>
          <w:highlight w:val="none"/>
          <w:lang w:val="en-US" w:eastAsia="zh-CN"/>
        </w:rPr>
        <w:t>其基本户银行出具的资信证明</w:t>
      </w:r>
      <w:r>
        <w:rPr>
          <w:rFonts w:hint="eastAsia" w:ascii="宋体" w:hAnsi="宋体" w:eastAsia="宋体" w:cs="宋体"/>
          <w:color w:val="auto"/>
          <w:sz w:val="21"/>
          <w:szCs w:val="21"/>
          <w:highlight w:val="none"/>
        </w:rPr>
        <w:t>）；具有履行合同所必需的设备和专业技术能力（提供书面承诺书</w:t>
      </w:r>
      <w:r>
        <w:rPr>
          <w:rFonts w:hint="eastAsia" w:ascii="宋体" w:hAnsi="宋体" w:cs="宋体"/>
          <w:color w:val="auto"/>
          <w:sz w:val="21"/>
          <w:szCs w:val="21"/>
          <w:highlight w:val="none"/>
          <w:lang w:eastAsia="zh-CN"/>
        </w:rPr>
        <w:t>格式自拟</w:t>
      </w:r>
      <w:r>
        <w:rPr>
          <w:rFonts w:hint="eastAsia" w:ascii="宋体" w:hAnsi="宋体" w:eastAsia="宋体" w:cs="宋体"/>
          <w:color w:val="auto"/>
          <w:sz w:val="21"/>
          <w:szCs w:val="21"/>
          <w:highlight w:val="none"/>
        </w:rPr>
        <w:t>）；有依法缴纳税收和社会保障资金的良好记录（提供</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月以来</w:t>
      </w:r>
      <w:r>
        <w:rPr>
          <w:rFonts w:hint="eastAsia" w:ascii="宋体" w:hAnsi="宋体" w:cs="宋体"/>
          <w:color w:val="auto"/>
          <w:sz w:val="21"/>
          <w:szCs w:val="21"/>
          <w:highlight w:val="none"/>
          <w:lang w:eastAsia="zh-CN"/>
        </w:rPr>
        <w:t>连续三个月</w:t>
      </w:r>
      <w:r>
        <w:rPr>
          <w:rFonts w:hint="eastAsia" w:ascii="宋体" w:hAnsi="宋体" w:eastAsia="宋体" w:cs="宋体"/>
          <w:color w:val="auto"/>
          <w:sz w:val="21"/>
          <w:szCs w:val="21"/>
          <w:highlight w:val="none"/>
        </w:rPr>
        <w:t>依法缴纳税收和</w:t>
      </w:r>
      <w:r>
        <w:rPr>
          <w:rFonts w:hint="eastAsia" w:ascii="宋体" w:hAnsi="宋体" w:eastAsia="宋体" w:cs="宋体"/>
          <w:color w:val="000000" w:themeColor="text1"/>
          <w:sz w:val="21"/>
          <w:szCs w:val="21"/>
          <w:highlight w:val="none"/>
          <w14:textFill>
            <w14:solidFill>
              <w14:schemeClr w14:val="tx1"/>
            </w14:solidFill>
          </w14:textFill>
        </w:rPr>
        <w:t>养老保险证明</w:t>
      </w:r>
      <w:r>
        <w:rPr>
          <w:rFonts w:hint="eastAsia" w:ascii="宋体" w:hAnsi="宋体" w:eastAsia="宋体" w:cs="宋体"/>
          <w:color w:val="auto"/>
          <w:sz w:val="21"/>
          <w:szCs w:val="21"/>
          <w:highlight w:val="none"/>
        </w:rPr>
        <w:t>）；参加政府采购活动前三年内（自201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年1月1日以来，新成立企业自企业成立之日起），在经营活动中没有重大违法记录（提供书面承诺）；法律、行政法规规定的其他条件。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7提供中国执行信息公开网 “失信被执行人”和信用中国网“重大税收违法失信主体”，中国政府采购网“政府采购严重违法失信行为名单”</w:t>
      </w:r>
      <w:r>
        <w:rPr>
          <w:rFonts w:hint="eastAsia" w:ascii="宋体" w:hAnsi="宋体" w:eastAsia="宋体" w:cs="宋体"/>
          <w:color w:val="auto"/>
          <w:sz w:val="21"/>
          <w:szCs w:val="21"/>
          <w:highlight w:val="none"/>
        </w:rPr>
        <w:t>，查询结果页面截图，若有不良记录</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无效，执行财库[2016]125号文，查询日期自本项目招标公告发布之日起</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第二标段资格要求：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2.1投</w:t>
      </w:r>
      <w:r>
        <w:rPr>
          <w:rFonts w:hint="eastAsia" w:ascii="宋体" w:hAnsi="宋体" w:eastAsia="宋体" w:cs="宋体"/>
          <w:color w:val="auto"/>
          <w:sz w:val="21"/>
          <w:szCs w:val="21"/>
          <w:highlight w:val="none"/>
          <w:lang w:val="en-US" w:eastAsia="zh-CN"/>
        </w:rPr>
        <w:t xml:space="preserve">标人在中华人民共和国境内注册，具有独立法人资格，持有有效的营业执照、税务登记证、 组织机构代码证（或三证合一营业执照）。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2.2投标人具有良好的商业信誉和健全的财务会计</w:t>
      </w:r>
      <w:r>
        <w:rPr>
          <w:rFonts w:hint="eastAsia" w:ascii="宋体" w:hAnsi="宋体" w:eastAsia="宋体" w:cs="宋体"/>
          <w:color w:val="auto"/>
          <w:sz w:val="21"/>
          <w:szCs w:val="21"/>
          <w:highlight w:val="none"/>
        </w:rPr>
        <w:t>制度（提供</w:t>
      </w:r>
      <w:r>
        <w:rPr>
          <w:rFonts w:hint="eastAsia" w:ascii="宋体" w:hAnsi="宋体" w:cs="宋体"/>
          <w:color w:val="auto"/>
          <w:sz w:val="21"/>
          <w:szCs w:val="21"/>
          <w:highlight w:val="none"/>
          <w:lang w:eastAsia="zh-CN"/>
        </w:rPr>
        <w:t>2019、2020、2021</w:t>
      </w:r>
      <w:r>
        <w:rPr>
          <w:rFonts w:hint="eastAsia" w:ascii="宋体" w:hAnsi="宋体" w:eastAsia="宋体" w:cs="宋体"/>
          <w:color w:val="auto"/>
          <w:sz w:val="21"/>
          <w:szCs w:val="21"/>
          <w:highlight w:val="none"/>
        </w:rPr>
        <w:t>年度经审计的财务</w:t>
      </w:r>
      <w:r>
        <w:rPr>
          <w:rFonts w:hint="eastAsia" w:ascii="宋体" w:hAnsi="宋体" w:eastAsia="宋体" w:cs="宋体"/>
          <w:color w:val="auto"/>
          <w:sz w:val="21"/>
          <w:szCs w:val="21"/>
          <w:highlight w:val="none"/>
          <w:lang w:val="en-US" w:eastAsia="zh-CN"/>
        </w:rPr>
        <w:t>审计报告或其基本户银行出具的资信证明</w:t>
      </w:r>
      <w:r>
        <w:rPr>
          <w:rFonts w:hint="eastAsia" w:ascii="宋体" w:hAnsi="宋体" w:eastAsia="宋体" w:cs="宋体"/>
          <w:color w:val="auto"/>
          <w:sz w:val="21"/>
          <w:szCs w:val="21"/>
          <w:highlight w:val="none"/>
        </w:rPr>
        <w:t>；若投标人为新成立企业，提供自注册年度后的经审计的财务报</w:t>
      </w:r>
      <w:r>
        <w:rPr>
          <w:rFonts w:hint="eastAsia" w:ascii="宋体" w:hAnsi="宋体" w:eastAsia="宋体" w:cs="宋体"/>
          <w:color w:val="auto"/>
          <w:sz w:val="21"/>
          <w:szCs w:val="21"/>
          <w:highlight w:val="none"/>
          <w:lang w:val="en-US" w:eastAsia="zh-CN"/>
        </w:rPr>
        <w:t>告</w:t>
      </w:r>
      <w:r>
        <w:rPr>
          <w:rFonts w:hint="eastAsia" w:ascii="宋体" w:hAnsi="宋体" w:eastAsia="宋体" w:cs="宋体"/>
          <w:color w:val="auto"/>
          <w:sz w:val="21"/>
          <w:szCs w:val="21"/>
          <w:highlight w:val="none"/>
        </w:rPr>
        <w:t>）；具有履行合同所必需的设备和专业技术能力（提供书面承诺书）；有依法缴纳税收和社会保障资金的良好记录（提供</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月以来</w:t>
      </w:r>
      <w:r>
        <w:rPr>
          <w:rFonts w:hint="eastAsia" w:ascii="宋体" w:hAnsi="宋体" w:cs="宋体"/>
          <w:color w:val="auto"/>
          <w:sz w:val="21"/>
          <w:szCs w:val="21"/>
          <w:highlight w:val="none"/>
          <w:lang w:eastAsia="zh-CN"/>
        </w:rPr>
        <w:t>连续三个月</w:t>
      </w:r>
      <w:r>
        <w:rPr>
          <w:rFonts w:hint="eastAsia" w:ascii="宋体" w:hAnsi="宋体" w:eastAsia="宋体" w:cs="宋体"/>
          <w:color w:val="auto"/>
          <w:sz w:val="21"/>
          <w:szCs w:val="21"/>
          <w:highlight w:val="none"/>
        </w:rPr>
        <w:t>依法缴纳税收和</w:t>
      </w:r>
      <w:r>
        <w:rPr>
          <w:rFonts w:hint="eastAsia" w:asciiTheme="minorEastAsia" w:hAnsiTheme="minorEastAsia" w:eastAsiaTheme="minorEastAsia" w:cstheme="minorEastAsia"/>
          <w:color w:val="auto"/>
          <w:sz w:val="21"/>
          <w:szCs w:val="21"/>
          <w:highlight w:val="none"/>
        </w:rPr>
        <w:t>养老保险证明</w:t>
      </w:r>
      <w:r>
        <w:rPr>
          <w:rFonts w:hint="eastAsia" w:ascii="宋体" w:hAnsi="宋体" w:eastAsia="宋体" w:cs="宋体"/>
          <w:color w:val="auto"/>
          <w:sz w:val="21"/>
          <w:szCs w:val="21"/>
          <w:highlight w:val="none"/>
        </w:rPr>
        <w:t>）；参加政府采购活动前三年内（自201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年1月1日以来，新成立企业自企业成立之日起），在经营活动中没有重大违法记录（提供书面承诺）；法律、行政法规规定的其他条件。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2.3投标人须具备建设行政主管部门核发的房屋建筑工程监理乙级及以上资质或具有工程监理综合资质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2.4投标人</w:t>
      </w:r>
      <w:r>
        <w:rPr>
          <w:rFonts w:hint="eastAsia" w:ascii="宋体" w:hAnsi="宋体" w:eastAsia="宋体" w:cs="宋体"/>
          <w:color w:val="auto"/>
          <w:sz w:val="21"/>
          <w:szCs w:val="21"/>
          <w:highlight w:val="none"/>
        </w:rPr>
        <w:t>拟派项目总监理工程师须具有</w:t>
      </w:r>
      <w:r>
        <w:rPr>
          <w:rFonts w:hint="eastAsia"/>
          <w:color w:val="auto"/>
          <w:highlight w:val="none"/>
        </w:rPr>
        <w:t>房屋建筑工程</w:t>
      </w:r>
      <w:r>
        <w:rPr>
          <w:rFonts w:hint="eastAsia" w:ascii="宋体" w:hAnsi="宋体" w:eastAsia="宋体" w:cs="宋体"/>
          <w:color w:val="auto"/>
          <w:sz w:val="21"/>
          <w:szCs w:val="21"/>
          <w:highlight w:val="none"/>
        </w:rPr>
        <w:t>专业</w:t>
      </w:r>
      <w:r>
        <w:rPr>
          <w:rFonts w:hint="eastAsia" w:ascii="宋体" w:hAnsi="宋体" w:cs="宋体"/>
          <w:color w:val="auto"/>
          <w:sz w:val="21"/>
          <w:szCs w:val="21"/>
          <w:highlight w:val="none"/>
          <w:lang w:eastAsia="zh-CN"/>
        </w:rPr>
        <w:t>国家</w:t>
      </w:r>
      <w:r>
        <w:rPr>
          <w:rFonts w:hint="eastAsia" w:ascii="宋体" w:hAnsi="宋体" w:eastAsia="宋体" w:cs="宋体"/>
          <w:color w:val="auto"/>
          <w:sz w:val="21"/>
          <w:szCs w:val="21"/>
          <w:highlight w:val="none"/>
        </w:rPr>
        <w:t>注册监理工程师证书。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投标人拟派本项目的项目总监理工程师和委托代理人须为本单位的正式员工（提供人员劳动合同及投标人在当地社保部门为其缴纳的</w:t>
      </w:r>
      <w:r>
        <w:rPr>
          <w:rFonts w:hint="eastAsia" w:ascii="宋体" w:hAnsi="宋体" w:cs="宋体"/>
          <w:color w:val="auto"/>
          <w:sz w:val="21"/>
          <w:szCs w:val="21"/>
          <w:highlight w:val="none"/>
          <w:lang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1月</w:t>
      </w:r>
      <w:r>
        <w:rPr>
          <w:rFonts w:hint="eastAsia" w:ascii="宋体" w:hAnsi="宋体" w:cs="宋体"/>
          <w:color w:val="auto"/>
          <w:sz w:val="21"/>
          <w:szCs w:val="21"/>
          <w:highlight w:val="none"/>
          <w:lang w:eastAsia="zh-CN"/>
        </w:rPr>
        <w:t>以来连续三个月</w:t>
      </w:r>
      <w:r>
        <w:rPr>
          <w:rFonts w:hint="eastAsia" w:ascii="宋体" w:hAnsi="宋体" w:eastAsia="宋体" w:cs="宋体"/>
          <w:color w:val="auto"/>
          <w:sz w:val="21"/>
          <w:szCs w:val="21"/>
          <w:highlight w:val="none"/>
        </w:rPr>
        <w:t>的养老保险证明）。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提供中国执行信息公开网 “失信被执行人”和信用中国网“重大税收违法失信主体”，中国政府采购网“政府采购严重违法失信行为名单”</w:t>
      </w:r>
      <w:r>
        <w:rPr>
          <w:rFonts w:hint="eastAsia" w:ascii="宋体" w:hAnsi="宋体" w:eastAsia="宋体" w:cs="宋体"/>
          <w:color w:val="auto"/>
          <w:sz w:val="21"/>
          <w:szCs w:val="21"/>
          <w:highlight w:val="none"/>
        </w:rPr>
        <w:t>，查询结果页面截图，若有不良记录</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无效，执行财库[2016]125号文，查询日期自本项目招标公告发布之日起</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本次招标</w:t>
      </w:r>
      <w:r>
        <w:rPr>
          <w:rFonts w:hint="eastAsia" w:ascii="宋体" w:hAnsi="宋体" w:eastAsia="宋体" w:cs="宋体"/>
          <w:color w:val="auto"/>
          <w:sz w:val="21"/>
          <w:szCs w:val="21"/>
          <w:highlight w:val="none"/>
          <w:lang w:val="en-US" w:eastAsia="zh-CN"/>
        </w:rPr>
        <w:t>两个标段均</w:t>
      </w:r>
      <w:r>
        <w:rPr>
          <w:rFonts w:hint="eastAsia" w:ascii="宋体" w:hAnsi="宋体" w:eastAsia="宋体" w:cs="宋体"/>
          <w:color w:val="auto"/>
          <w:sz w:val="21"/>
          <w:szCs w:val="21"/>
          <w:highlight w:val="none"/>
        </w:rPr>
        <w:t>不接受联合体投标，</w:t>
      </w:r>
      <w:r>
        <w:rPr>
          <w:rFonts w:hint="eastAsia" w:ascii="宋体" w:hAnsi="宋体" w:eastAsia="宋体" w:cs="宋体"/>
          <w:color w:val="auto"/>
          <w:sz w:val="21"/>
          <w:szCs w:val="21"/>
          <w:highlight w:val="none"/>
          <w:lang w:val="en-US" w:eastAsia="zh-CN"/>
        </w:rPr>
        <w:t>均</w:t>
      </w:r>
      <w:r>
        <w:rPr>
          <w:rFonts w:hint="eastAsia" w:ascii="宋体" w:hAnsi="宋体" w:eastAsia="宋体" w:cs="宋体"/>
          <w:color w:val="auto"/>
          <w:sz w:val="21"/>
          <w:szCs w:val="21"/>
          <w:highlight w:val="none"/>
        </w:rPr>
        <w:t>采用资格后审。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84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养老保险需提供网页查询页面截图。招标人随时保留查询资料的真实性的权利，如证实投标人提供虚假材料，由此导致的投标无效或引起的一切不良和法律后果将由投标人承担。 </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3、如投标单位为新成立企业，可提供注册后的相关证明材料。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1.时间：</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日 至 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日，每天上午00:00至12:00，下午12:00至23:59（北京时间，法定节假日除外。）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地点：平顶山市公共资源交易中心系统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方式：（1）潜在投标人下载招标文件需凭CA数字证书通过《全国公共资源交易平台（河南•平顶山）》（网址：http://www.pdsggzy.com/）“</w:t>
      </w:r>
      <w:r>
        <w:rPr>
          <w:rFonts w:hint="eastAsia" w:ascii="宋体" w:hAnsi="宋体" w:eastAsia="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登录”入口进入交易系统进行下载。具体操作请查看以下链接：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链接地址：http://www.pdsggzy.com/fwzn/11020.jhtml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办理CA证书：</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"http://www.pdsggzy.com/tzgg/10814.jhtml"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http://www.pdsggzy.com/tzgg/10814.jhtml</w:t>
      </w:r>
      <w:r>
        <w:rPr>
          <w:rFonts w:hint="eastAsia" w:ascii="宋体" w:hAnsi="宋体" w:eastAsia="宋体" w:cs="宋体"/>
          <w:b w:val="0"/>
          <w:bCs w:val="0"/>
          <w:color w:val="auto"/>
          <w:sz w:val="21"/>
          <w:szCs w:val="21"/>
          <w:highlight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1"/>
          <w:szCs w:val="21"/>
          <w:highlight w:val="none"/>
        </w:rPr>
      </w:pPr>
      <w:r>
        <w:rPr>
          <w:rFonts w:hint="eastAsia"/>
          <w:color w:val="auto"/>
          <w:highlight w:val="none"/>
          <w:lang w:val="en-US" w:eastAsia="zh-CN"/>
        </w:rPr>
        <w:t>4.售价：0元</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四、投标截止时间及地点</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地点：平顶山市公共资源电子化交易系统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五、开标时间及地点</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分（北京时间）</w:t>
      </w:r>
      <w:r>
        <w:rPr>
          <w:rFonts w:hint="eastAsia" w:ascii="宋体" w:hAnsi="宋体" w:eastAsia="宋体" w:cs="宋体"/>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地点：平顶山市公共资源电子化交易系统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注：投标人采用网上远程异地解密，用 CA 证书登录平顶山市公共资源交易中心业务系统，进入本项目开标大厅点击解密来完成投标文件的解密工作。(在疫情期间如有变化，请各潜在投标人及时关注中心网站)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六、发布公告的媒介及招标公告期限</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本次招标公告在《全国公共资源交易平台（河南省·平顶山市）》、《中国招标投标公共服务平台》、《河南省电子招标投标公共服务平台》</w:t>
      </w:r>
      <w:r>
        <w:rPr>
          <w:rFonts w:hint="eastAsia" w:ascii="宋体" w:hAnsi="宋体" w:eastAsia="宋体" w:cs="宋体"/>
          <w:color w:val="auto"/>
          <w:sz w:val="21"/>
          <w:szCs w:val="21"/>
          <w:highlight w:val="none"/>
          <w:lang w:val="en-US" w:eastAsia="zh-CN"/>
        </w:rPr>
        <w:t>网站</w:t>
      </w:r>
      <w:r>
        <w:rPr>
          <w:rFonts w:hint="eastAsia" w:ascii="宋体" w:hAnsi="宋体" w:eastAsia="宋体" w:cs="宋体"/>
          <w:color w:val="auto"/>
          <w:sz w:val="21"/>
          <w:szCs w:val="21"/>
          <w:highlight w:val="none"/>
        </w:rPr>
        <w:t>上发布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公告期限为五个工作日。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七、其他补充事宜</w:t>
      </w:r>
      <w:r>
        <w:rPr>
          <w:rFonts w:hint="eastAsia" w:ascii="宋体" w:hAnsi="宋体" w:eastAsia="宋体" w:cs="宋体"/>
          <w:b/>
          <w:bCs/>
          <w:color w:val="auto"/>
          <w:sz w:val="21"/>
          <w:szCs w:val="21"/>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1、疫情期间如有变化，请各潜在投标人及时关注相关网站。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平顶山市公共资源交易中心全面实行在线“不见面”开标，投标人远程在线解密投标文件，不再到开标现场，投标人开标前应仔细阅读《“不见面”开标注意事项及操作流程》和《关于“不见面开标系统”升级的通知》（网址：http://www.pdsggzy.com/tzgg/48949.jhtm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3、逾期上传的电子投标文件，采购人不予受理。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各投标人如有异议可通过平顶山市公共资源交易平台向招标人（代理机构）、行政监督部门在线提出质疑（异议）、投诉。 该公告已同步至“平顶山市公共资源交易中心微信公众号”，可通过公众号中的服务栏目进行查阅。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平顶山市建设工程招标投标</w:t>
      </w:r>
      <w:r>
        <w:rPr>
          <w:rFonts w:hint="eastAsia" w:ascii="宋体" w:hAnsi="宋体" w:cs="宋体"/>
          <w:b w:val="0"/>
          <w:bCs w:val="0"/>
          <w:color w:val="auto"/>
          <w:sz w:val="21"/>
          <w:szCs w:val="21"/>
          <w:highlight w:val="none"/>
          <w:lang w:eastAsia="zh-CN"/>
        </w:rPr>
        <w:t>事务</w:t>
      </w:r>
      <w:r>
        <w:rPr>
          <w:rFonts w:hint="eastAsia" w:ascii="宋体" w:hAnsi="宋体" w:eastAsia="宋体" w:cs="宋体"/>
          <w:b w:val="0"/>
          <w:bCs w:val="0"/>
          <w:color w:val="auto"/>
          <w:sz w:val="21"/>
          <w:szCs w:val="21"/>
          <w:highlight w:val="none"/>
        </w:rPr>
        <w:t>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 人：王先生</w:t>
      </w:r>
      <w:bookmarkStart w:id="178" w:name="_GoBack"/>
      <w:bookmarkEnd w:id="17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联系电话：</w:t>
      </w:r>
      <w:r>
        <w:rPr>
          <w:rFonts w:hint="eastAsia" w:ascii="宋体" w:hAnsi="宋体" w:eastAsia="宋体" w:cs="宋体"/>
          <w:b w:val="0"/>
          <w:bCs w:val="0"/>
          <w:color w:val="auto"/>
          <w:sz w:val="21"/>
          <w:szCs w:val="21"/>
          <w:highlight w:val="none"/>
          <w:lang w:val="en-US"/>
        </w:rPr>
        <w:t>0375-2633905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统一社会信用代码：</w:t>
      </w:r>
      <w:r>
        <w:rPr>
          <w:rFonts w:hint="eastAsia" w:ascii="宋体" w:hAnsi="宋体" w:eastAsia="宋体" w:cs="宋体"/>
          <w:b w:val="0"/>
          <w:bCs w:val="0"/>
          <w:color w:val="auto"/>
          <w:sz w:val="21"/>
          <w:szCs w:val="21"/>
          <w:highlight w:val="none"/>
          <w:lang w:val="en-US"/>
        </w:rPr>
        <w:t>12410400F737105200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八、凡对本次招标提出询问，请按照以下方式联系</w:t>
      </w:r>
      <w:r>
        <w:rPr>
          <w:rFonts w:hint="eastAsia" w:ascii="宋体" w:hAnsi="宋体" w:eastAsia="宋体" w:cs="宋体"/>
          <w:b/>
          <w:bCs/>
          <w:color w:val="auto"/>
          <w:sz w:val="21"/>
          <w:szCs w:val="21"/>
          <w:highlight w:val="none"/>
          <w:lang w:val="en-US"/>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 xml:space="preserve"> </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 xml:space="preserve">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招 标</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人：</w:t>
      </w:r>
      <w:r>
        <w:rPr>
          <w:rFonts w:hint="eastAsia" w:ascii="宋体" w:hAnsi="宋体" w:cs="宋体"/>
          <w:b w:val="0"/>
          <w:bCs w:val="0"/>
          <w:color w:val="auto"/>
          <w:sz w:val="21"/>
          <w:szCs w:val="21"/>
          <w:highlight w:val="none"/>
          <w:lang w:eastAsia="zh-CN"/>
        </w:rPr>
        <w:t>平顶山交通水利建设投资有限公司</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联 系 人：马先生        </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电    话：18037596888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址：</w:t>
      </w:r>
      <w:r>
        <w:rPr>
          <w:rFonts w:hint="eastAsia" w:ascii="宋体" w:hAnsi="宋体" w:eastAsia="宋体" w:cs="宋体"/>
          <w:b w:val="0"/>
          <w:bCs w:val="0"/>
          <w:color w:val="auto"/>
          <w:sz w:val="21"/>
          <w:szCs w:val="21"/>
          <w:highlight w:val="none"/>
          <w:lang w:eastAsia="zh-CN"/>
        </w:rPr>
        <w:t>平顶山市新城区交通大厦</w:t>
      </w:r>
      <w:r>
        <w:rPr>
          <w:rFonts w:hint="eastAsia" w:ascii="宋体" w:hAnsi="宋体" w:eastAsia="宋体" w:cs="宋体"/>
          <w:b w:val="0"/>
          <w:bCs w:val="0"/>
          <w:color w:val="auto"/>
          <w:sz w:val="21"/>
          <w:szCs w:val="21"/>
          <w:highlight w:val="none"/>
          <w:lang w:val="en-US" w:eastAsia="zh-CN"/>
        </w:rPr>
        <w:t xml:space="preserve">15楼 </w:t>
      </w:r>
      <w:r>
        <w:rPr>
          <w:rFonts w:hint="eastAsia" w:ascii="宋体" w:hAnsi="宋体" w:eastAsia="宋体" w:cs="宋体"/>
          <w:b w:val="0"/>
          <w:bCs w:val="0"/>
          <w:color w:val="auto"/>
          <w:sz w:val="21"/>
          <w:szCs w:val="21"/>
          <w:highlight w:val="none"/>
        </w:rPr>
        <w:t xml:space="preserve">  </w:t>
      </w: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招标</w:t>
      </w:r>
      <w:r>
        <w:rPr>
          <w:rFonts w:hint="eastAsia" w:ascii="宋体" w:hAnsi="宋体" w:eastAsia="宋体" w:cs="宋体"/>
          <w:color w:val="auto"/>
          <w:sz w:val="21"/>
          <w:szCs w:val="21"/>
          <w:highlight w:val="none"/>
        </w:rPr>
        <w:t>代理机构信息</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招标代理机构：河南财锐工程咨询服务有限公司  </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联</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系</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人：</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李女士</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电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话：0375-2922888</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color w:val="auto"/>
          <w:highlight w:val="none"/>
        </w:rPr>
      </w:pPr>
      <w:r>
        <w:rPr>
          <w:rFonts w:hint="eastAsia" w:ascii="宋体" w:hAnsi="宋体" w:eastAsia="宋体" w:cs="宋体"/>
          <w:b w:val="0"/>
          <w:bCs w:val="0"/>
          <w:color w:val="auto"/>
          <w:sz w:val="21"/>
          <w:szCs w:val="21"/>
          <w:highlight w:val="none"/>
        </w:rPr>
        <w:t xml:space="preserve">地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址：平顶山市未来路凤凰花园小区6号楼1层</w:t>
      </w:r>
    </w:p>
    <w:p>
      <w:pPr>
        <w:rPr>
          <w:rFonts w:hint="eastAsia"/>
          <w:b/>
          <w:bCs/>
          <w:color w:val="auto"/>
          <w:sz w:val="32"/>
          <w:szCs w:val="40"/>
          <w:highlight w:val="none"/>
        </w:rPr>
      </w:pPr>
      <w:r>
        <w:rPr>
          <w:rFonts w:hint="eastAsia"/>
          <w:b/>
          <w:bCs/>
          <w:color w:val="auto"/>
          <w:sz w:val="32"/>
          <w:szCs w:val="40"/>
          <w:highlight w:val="none"/>
        </w:rPr>
        <w:br w:type="page"/>
      </w:r>
    </w:p>
    <w:p>
      <w:pPr>
        <w:bidi w:val="0"/>
        <w:spacing w:line="360" w:lineRule="auto"/>
        <w:jc w:val="center"/>
        <w:rPr>
          <w:b/>
          <w:bCs/>
          <w:color w:val="auto"/>
          <w:sz w:val="32"/>
          <w:szCs w:val="40"/>
          <w:highlight w:val="none"/>
        </w:rPr>
      </w:pPr>
      <w:r>
        <w:rPr>
          <w:rFonts w:hint="eastAsia"/>
          <w:b/>
          <w:bCs/>
          <w:color w:val="auto"/>
          <w:sz w:val="32"/>
          <w:szCs w:val="40"/>
          <w:highlight w:val="none"/>
        </w:rPr>
        <w:t>温馨提示：</w:t>
      </w:r>
    </w:p>
    <w:p>
      <w:pPr>
        <w:bidi w:val="0"/>
        <w:spacing w:line="360" w:lineRule="auto"/>
        <w:rPr>
          <w:color w:val="auto"/>
          <w:sz w:val="21"/>
          <w:szCs w:val="21"/>
          <w:highlight w:val="none"/>
        </w:rPr>
      </w:pPr>
      <w:r>
        <w:rPr>
          <w:rFonts w:hint="eastAsia"/>
          <w:color w:val="auto"/>
          <w:sz w:val="21"/>
          <w:szCs w:val="21"/>
          <w:highlight w:val="none"/>
        </w:rPr>
        <w:t>本项目为全流程电子化交易项目，请认真阅读招标文件，并注意以下事项。</w:t>
      </w:r>
    </w:p>
    <w:p>
      <w:pPr>
        <w:bidi w:val="0"/>
        <w:spacing w:line="360" w:lineRule="auto"/>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供应商应按招标文件规定编制、提交电子投标文件。</w:t>
      </w:r>
      <w:r>
        <w:rPr>
          <w:rFonts w:hint="eastAsia"/>
          <w:color w:val="auto"/>
          <w:sz w:val="21"/>
          <w:szCs w:val="21"/>
          <w:highlight w:val="none"/>
          <w:lang w:val="en-US"/>
        </w:rPr>
        <w:t xml:space="preserve"> </w:t>
      </w:r>
    </w:p>
    <w:p>
      <w:pPr>
        <w:bidi w:val="0"/>
        <w:spacing w:line="360" w:lineRule="auto"/>
        <w:rPr>
          <w:color w:val="auto"/>
          <w:sz w:val="21"/>
          <w:szCs w:val="21"/>
          <w:highlight w:val="none"/>
        </w:rPr>
      </w:pPr>
      <w:r>
        <w:rPr>
          <w:rFonts w:hint="eastAsia"/>
          <w:color w:val="auto"/>
          <w:sz w:val="21"/>
          <w:szCs w:val="21"/>
          <w:highlight w:val="none"/>
          <w:lang w:val="en-US"/>
        </w:rPr>
        <w:t>2.</w:t>
      </w:r>
      <w:r>
        <w:rPr>
          <w:rFonts w:hint="eastAsia"/>
          <w:color w:val="auto"/>
          <w:sz w:val="21"/>
          <w:szCs w:val="21"/>
          <w:highlight w:val="none"/>
        </w:rPr>
        <w:t>本项目供应商不用再提供纸质投标文件。</w:t>
      </w:r>
    </w:p>
    <w:p>
      <w:pPr>
        <w:bidi w:val="0"/>
        <w:spacing w:line="360" w:lineRule="auto"/>
        <w:rPr>
          <w:color w:val="auto"/>
          <w:sz w:val="21"/>
          <w:szCs w:val="21"/>
          <w:highlight w:val="none"/>
        </w:rPr>
      </w:pPr>
      <w:r>
        <w:rPr>
          <w:rFonts w:hint="eastAsia"/>
          <w:color w:val="auto"/>
          <w:sz w:val="21"/>
          <w:szCs w:val="21"/>
          <w:highlight w:val="none"/>
          <w:lang w:val="en-US"/>
        </w:rPr>
        <w:t>3.</w:t>
      </w:r>
      <w:r>
        <w:rPr>
          <w:rFonts w:hint="eastAsia"/>
          <w:color w:val="auto"/>
          <w:sz w:val="21"/>
          <w:szCs w:val="21"/>
          <w:highlight w:val="none"/>
        </w:rPr>
        <w:t>电子文件下载、制作、提交期间和开标（电子投标文件的解密）环节，供应商须使用</w:t>
      </w:r>
      <w:r>
        <w:rPr>
          <w:rFonts w:hint="eastAsia"/>
          <w:color w:val="auto"/>
          <w:sz w:val="21"/>
          <w:szCs w:val="21"/>
          <w:highlight w:val="none"/>
          <w:lang w:val="en-US"/>
        </w:rPr>
        <w:t>CA</w:t>
      </w:r>
      <w:r>
        <w:rPr>
          <w:rFonts w:hint="eastAsia"/>
          <w:color w:val="auto"/>
          <w:sz w:val="21"/>
          <w:szCs w:val="21"/>
          <w:highlight w:val="none"/>
        </w:rPr>
        <w:t>数字证书（证书须在有效期内）。</w:t>
      </w:r>
    </w:p>
    <w:p>
      <w:pPr>
        <w:bidi w:val="0"/>
        <w:spacing w:line="360" w:lineRule="auto"/>
        <w:rPr>
          <w:color w:val="auto"/>
          <w:sz w:val="21"/>
          <w:szCs w:val="21"/>
          <w:highlight w:val="none"/>
        </w:rPr>
      </w:pPr>
      <w:r>
        <w:rPr>
          <w:rFonts w:hint="eastAsia"/>
          <w:color w:val="auto"/>
          <w:sz w:val="21"/>
          <w:szCs w:val="21"/>
          <w:highlight w:val="none"/>
          <w:lang w:val="en-US"/>
        </w:rPr>
        <w:t>4.</w:t>
      </w:r>
      <w:r>
        <w:rPr>
          <w:rFonts w:hint="eastAsia"/>
          <w:color w:val="auto"/>
          <w:sz w:val="21"/>
          <w:szCs w:val="21"/>
          <w:highlight w:val="none"/>
        </w:rPr>
        <w:t>电子投标文件的制作</w:t>
      </w:r>
    </w:p>
    <w:p>
      <w:pPr>
        <w:bidi w:val="0"/>
        <w:spacing w:line="360" w:lineRule="auto"/>
        <w:rPr>
          <w:color w:val="auto"/>
          <w:sz w:val="21"/>
          <w:szCs w:val="21"/>
          <w:highlight w:val="none"/>
        </w:rPr>
      </w:pPr>
      <w:r>
        <w:rPr>
          <w:rFonts w:hint="eastAsia"/>
          <w:color w:val="auto"/>
          <w:sz w:val="21"/>
          <w:szCs w:val="21"/>
          <w:highlight w:val="none"/>
          <w:lang w:val="en-US"/>
        </w:rPr>
        <w:t xml:space="preserve">4.1 </w:t>
      </w:r>
      <w:r>
        <w:rPr>
          <w:rFonts w:hint="eastAsia"/>
          <w:color w:val="auto"/>
          <w:sz w:val="21"/>
          <w:szCs w:val="21"/>
          <w:highlight w:val="none"/>
        </w:rPr>
        <w:t>供应商登录《全国公共资源交易平台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w:t>
      </w:r>
      <w:r>
        <w:rPr>
          <w:rFonts w:hint="eastAsia"/>
          <w:color w:val="auto"/>
          <w:sz w:val="21"/>
          <w:szCs w:val="21"/>
          <w:highlight w:val="none"/>
          <w:lang w:val="en-US"/>
        </w:rPr>
        <w:t>http://221.176.192.166:8080/ggzy/</w:t>
      </w:r>
      <w:r>
        <w:rPr>
          <w:rFonts w:hint="eastAsia"/>
          <w:color w:val="auto"/>
          <w:sz w:val="21"/>
          <w:szCs w:val="21"/>
          <w:highlight w:val="none"/>
        </w:rPr>
        <w:t>）下载“平顶山投标文件制作系统”，按采购文件要求制作电子投标文件。</w:t>
      </w:r>
    </w:p>
    <w:p>
      <w:pPr>
        <w:bidi w:val="0"/>
        <w:spacing w:line="360" w:lineRule="auto"/>
        <w:rPr>
          <w:color w:val="auto"/>
          <w:sz w:val="21"/>
          <w:szCs w:val="21"/>
          <w:highlight w:val="none"/>
        </w:rPr>
      </w:pPr>
      <w:r>
        <w:rPr>
          <w:rFonts w:hint="eastAsia"/>
          <w:color w:val="auto"/>
          <w:sz w:val="21"/>
          <w:szCs w:val="21"/>
          <w:highlight w:val="none"/>
        </w:rPr>
        <w:t>电子投标文件的制作，参考《全国公共资源交易平台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》公共资源交易系统——组件下载——交易系统操作手册（投标人、供应商）。</w:t>
      </w:r>
    </w:p>
    <w:p>
      <w:pPr>
        <w:bidi w:val="0"/>
        <w:spacing w:line="360" w:lineRule="auto"/>
        <w:rPr>
          <w:color w:val="auto"/>
          <w:sz w:val="21"/>
          <w:szCs w:val="21"/>
          <w:highlight w:val="none"/>
        </w:rPr>
      </w:pPr>
      <w:r>
        <w:rPr>
          <w:rFonts w:hint="eastAsia"/>
          <w:color w:val="auto"/>
          <w:sz w:val="21"/>
          <w:szCs w:val="21"/>
          <w:highlight w:val="none"/>
          <w:lang w:val="en-US"/>
        </w:rPr>
        <w:t xml:space="preserve">4.2 </w:t>
      </w:r>
      <w:r>
        <w:rPr>
          <w:rFonts w:hint="eastAsia"/>
          <w:color w:val="auto"/>
          <w:sz w:val="21"/>
          <w:szCs w:val="21"/>
          <w:highlight w:val="none"/>
        </w:rPr>
        <w:t>供应商须将采购文件要求的资质、业绩、荣誉及相关人员证明材料等资料原件扫描件（或图片）制作到所提交的电子投标文件中。</w:t>
      </w:r>
    </w:p>
    <w:p>
      <w:pPr>
        <w:bidi w:val="0"/>
        <w:spacing w:line="360" w:lineRule="auto"/>
        <w:rPr>
          <w:color w:val="auto"/>
          <w:sz w:val="21"/>
          <w:szCs w:val="21"/>
          <w:highlight w:val="none"/>
        </w:rPr>
      </w:pPr>
      <w:r>
        <w:rPr>
          <w:rFonts w:hint="eastAsia"/>
          <w:color w:val="auto"/>
          <w:sz w:val="21"/>
          <w:szCs w:val="21"/>
          <w:highlight w:val="none"/>
          <w:lang w:val="en-US"/>
        </w:rPr>
        <w:t>4.3</w:t>
      </w:r>
      <w:r>
        <w:rPr>
          <w:rFonts w:hint="eastAsia"/>
          <w:color w:val="auto"/>
          <w:sz w:val="21"/>
          <w:szCs w:val="21"/>
          <w:highlight w:val="none"/>
        </w:rPr>
        <w:t>供应商对同一项目多个标段进行投标的，应分别下载所投标段的采购文件，按标段制作电子投标文件，并按采购文件要求在相应位置加盖供应商电子印章和法人电子印章。</w:t>
      </w:r>
    </w:p>
    <w:p>
      <w:pPr>
        <w:bidi w:val="0"/>
        <w:spacing w:line="360" w:lineRule="auto"/>
        <w:rPr>
          <w:color w:val="auto"/>
          <w:sz w:val="21"/>
          <w:szCs w:val="21"/>
          <w:highlight w:val="none"/>
        </w:rPr>
      </w:pPr>
      <w:r>
        <w:rPr>
          <w:rFonts w:hint="eastAsia"/>
          <w:color w:val="auto"/>
          <w:sz w:val="21"/>
          <w:szCs w:val="21"/>
          <w:highlight w:val="none"/>
        </w:rPr>
        <w:t>一个标段对应生成一个文件夹（</w:t>
      </w:r>
      <w:r>
        <w:rPr>
          <w:rFonts w:hint="eastAsia"/>
          <w:color w:val="auto"/>
          <w:sz w:val="21"/>
          <w:szCs w:val="21"/>
          <w:highlight w:val="none"/>
          <w:lang w:val="en-US"/>
        </w:rPr>
        <w:t>xxxx</w:t>
      </w:r>
      <w:r>
        <w:rPr>
          <w:rFonts w:hint="eastAsia"/>
          <w:color w:val="auto"/>
          <w:sz w:val="21"/>
          <w:szCs w:val="21"/>
          <w:highlight w:val="none"/>
        </w:rPr>
        <w:t>项目</w:t>
      </w:r>
      <w:r>
        <w:rPr>
          <w:rFonts w:hint="eastAsia"/>
          <w:color w:val="auto"/>
          <w:sz w:val="21"/>
          <w:szCs w:val="21"/>
          <w:highlight w:val="none"/>
          <w:lang w:val="en-US"/>
        </w:rPr>
        <w:t>xx</w:t>
      </w:r>
      <w:r>
        <w:rPr>
          <w:rFonts w:hint="eastAsia"/>
          <w:color w:val="auto"/>
          <w:sz w:val="21"/>
          <w:szCs w:val="21"/>
          <w:highlight w:val="none"/>
        </w:rPr>
        <w:t>标段）</w:t>
      </w:r>
      <w:r>
        <w:rPr>
          <w:rFonts w:hint="eastAsia"/>
          <w:color w:val="auto"/>
          <w:sz w:val="21"/>
          <w:szCs w:val="21"/>
          <w:highlight w:val="none"/>
          <w:lang w:val="en-US"/>
        </w:rPr>
        <w:t xml:space="preserve">, </w:t>
      </w:r>
      <w:r>
        <w:rPr>
          <w:rFonts w:hint="eastAsia"/>
          <w:color w:val="auto"/>
          <w:sz w:val="21"/>
          <w:szCs w:val="21"/>
          <w:highlight w:val="none"/>
        </w:rPr>
        <w:t>其中包含</w:t>
      </w:r>
      <w:r>
        <w:rPr>
          <w:rFonts w:hint="eastAsia"/>
          <w:color w:val="auto"/>
          <w:sz w:val="21"/>
          <w:szCs w:val="21"/>
          <w:highlight w:val="none"/>
          <w:lang w:val="en-US"/>
        </w:rPr>
        <w:t>2</w:t>
      </w:r>
      <w:r>
        <w:rPr>
          <w:rFonts w:hint="eastAsia"/>
          <w:color w:val="auto"/>
          <w:sz w:val="21"/>
          <w:szCs w:val="21"/>
          <w:highlight w:val="none"/>
        </w:rPr>
        <w:t>个文件和</w:t>
      </w:r>
      <w:r>
        <w:rPr>
          <w:rFonts w:hint="eastAsia"/>
          <w:color w:val="auto"/>
          <w:sz w:val="21"/>
          <w:szCs w:val="21"/>
          <w:highlight w:val="none"/>
          <w:lang w:val="en-US"/>
        </w:rPr>
        <w:t>1</w:t>
      </w:r>
      <w:r>
        <w:rPr>
          <w:rFonts w:hint="eastAsia"/>
          <w:color w:val="auto"/>
          <w:sz w:val="21"/>
          <w:szCs w:val="21"/>
          <w:highlight w:val="none"/>
        </w:rPr>
        <w:t>个文件夹。后缀名为“</w:t>
      </w:r>
      <w:r>
        <w:rPr>
          <w:rFonts w:hint="eastAsia"/>
          <w:color w:val="auto"/>
          <w:sz w:val="21"/>
          <w:szCs w:val="21"/>
          <w:highlight w:val="none"/>
          <w:lang w:val="en-US"/>
        </w:rPr>
        <w:t>.file</w:t>
      </w:r>
      <w:r>
        <w:rPr>
          <w:rFonts w:hint="eastAsia"/>
          <w:color w:val="auto"/>
          <w:sz w:val="21"/>
          <w:szCs w:val="21"/>
          <w:highlight w:val="none"/>
        </w:rPr>
        <w:t>”的文件用于电子投标使用，名称为“备份”的文件夹使用电子介质存储，供开标现场备用。</w:t>
      </w:r>
    </w:p>
    <w:p>
      <w:pPr>
        <w:bidi w:val="0"/>
        <w:spacing w:line="360" w:lineRule="auto"/>
        <w:rPr>
          <w:color w:val="auto"/>
          <w:sz w:val="21"/>
          <w:szCs w:val="21"/>
          <w:highlight w:val="none"/>
        </w:rPr>
      </w:pPr>
      <w:r>
        <w:rPr>
          <w:rFonts w:hint="eastAsia"/>
          <w:color w:val="auto"/>
          <w:sz w:val="21"/>
          <w:szCs w:val="21"/>
          <w:highlight w:val="none"/>
          <w:lang w:val="en-US"/>
        </w:rPr>
        <w:t>5.</w:t>
      </w:r>
      <w:r>
        <w:rPr>
          <w:rFonts w:hint="eastAsia"/>
          <w:color w:val="auto"/>
          <w:sz w:val="21"/>
          <w:szCs w:val="21"/>
          <w:highlight w:val="none"/>
        </w:rPr>
        <w:t>加密电子投标文件的提交</w:t>
      </w:r>
      <w:r>
        <w:rPr>
          <w:rFonts w:hint="eastAsia"/>
          <w:color w:val="auto"/>
          <w:sz w:val="21"/>
          <w:szCs w:val="21"/>
          <w:highlight w:val="none"/>
          <w:lang w:val="en-US"/>
        </w:rPr>
        <w:t xml:space="preserve">           </w:t>
      </w:r>
    </w:p>
    <w:p>
      <w:pPr>
        <w:bidi w:val="0"/>
        <w:spacing w:line="360" w:lineRule="auto"/>
        <w:rPr>
          <w:color w:val="auto"/>
          <w:sz w:val="21"/>
          <w:szCs w:val="21"/>
          <w:highlight w:val="none"/>
        </w:rPr>
      </w:pPr>
      <w:r>
        <w:rPr>
          <w:rFonts w:hint="eastAsia"/>
          <w:color w:val="auto"/>
          <w:sz w:val="21"/>
          <w:szCs w:val="21"/>
          <w:highlight w:val="none"/>
          <w:lang w:val="en-US"/>
        </w:rPr>
        <w:t>5.1</w:t>
      </w:r>
      <w:r>
        <w:rPr>
          <w:rFonts w:hint="eastAsia"/>
          <w:color w:val="auto"/>
          <w:sz w:val="21"/>
          <w:szCs w:val="21"/>
          <w:highlight w:val="none"/>
        </w:rPr>
        <w:t>加密电子投标文件应在采购文件规定的投标截止时间（开标时间）之前成功提交至《全国公共资源交易平台</w:t>
      </w:r>
      <w:r>
        <w:rPr>
          <w:rFonts w:hint="eastAsia"/>
          <w:color w:val="auto"/>
          <w:sz w:val="21"/>
          <w:szCs w:val="21"/>
          <w:highlight w:val="none"/>
          <w:lang w:val="en-US"/>
        </w:rPr>
        <w:t>(</w:t>
      </w:r>
      <w:r>
        <w:rPr>
          <w:rFonts w:hint="eastAsia"/>
          <w:color w:val="auto"/>
          <w:sz w:val="21"/>
          <w:szCs w:val="21"/>
          <w:highlight w:val="none"/>
        </w:rPr>
        <w:t>河南省▪平顶山市</w:t>
      </w:r>
      <w:r>
        <w:rPr>
          <w:rFonts w:hint="eastAsia"/>
          <w:color w:val="auto"/>
          <w:sz w:val="21"/>
          <w:szCs w:val="21"/>
          <w:highlight w:val="none"/>
          <w:lang w:val="en-US"/>
        </w:rPr>
        <w:t>)</w:t>
      </w:r>
      <w:r>
        <w:rPr>
          <w:rFonts w:hint="eastAsia"/>
          <w:color w:val="auto"/>
          <w:sz w:val="21"/>
          <w:szCs w:val="21"/>
          <w:highlight w:val="none"/>
        </w:rPr>
        <w:t>》公共资源交易系统（</w:t>
      </w:r>
      <w:r>
        <w:rPr>
          <w:rFonts w:hint="eastAsia"/>
          <w:color w:val="auto"/>
          <w:sz w:val="21"/>
          <w:szCs w:val="21"/>
          <w:highlight w:val="none"/>
          <w:lang w:val="en-US"/>
        </w:rPr>
        <w:t>http://221.176.192.166:8080/ggzy/</w:t>
      </w:r>
      <w:r>
        <w:rPr>
          <w:rFonts w:hint="eastAsia"/>
          <w:color w:val="auto"/>
          <w:sz w:val="21"/>
          <w:szCs w:val="21"/>
          <w:highlight w:val="none"/>
        </w:rPr>
        <w:t>）。</w:t>
      </w:r>
    </w:p>
    <w:p>
      <w:pPr>
        <w:bidi w:val="0"/>
        <w:spacing w:line="360" w:lineRule="auto"/>
        <w:rPr>
          <w:color w:val="auto"/>
          <w:sz w:val="21"/>
          <w:szCs w:val="21"/>
          <w:highlight w:val="none"/>
        </w:rPr>
      </w:pPr>
      <w:r>
        <w:rPr>
          <w:rFonts w:hint="eastAsia"/>
          <w:color w:val="auto"/>
          <w:sz w:val="21"/>
          <w:szCs w:val="21"/>
          <w:highlight w:val="none"/>
        </w:rPr>
        <w:t>供应商应充分考虑并预留技术处理和上传数据所需时间。</w:t>
      </w:r>
    </w:p>
    <w:p>
      <w:pPr>
        <w:pStyle w:val="8"/>
        <w:spacing w:line="240" w:lineRule="auto"/>
        <w:jc w:val="center"/>
        <w:rPr>
          <w:rFonts w:hint="eastAsia"/>
          <w:color w:val="auto"/>
          <w:sz w:val="24"/>
          <w:szCs w:val="32"/>
          <w:highlight w:val="none"/>
        </w:rPr>
      </w:pPr>
      <w:r>
        <w:rPr>
          <w:rFonts w:hint="eastAsia"/>
          <w:color w:val="auto"/>
          <w:sz w:val="21"/>
          <w:szCs w:val="21"/>
          <w:highlight w:val="none"/>
          <w:lang w:val="en-US"/>
        </w:rPr>
        <w:t xml:space="preserve">5.2 </w:t>
      </w:r>
      <w:r>
        <w:rPr>
          <w:rFonts w:hint="eastAsia"/>
          <w:color w:val="auto"/>
          <w:sz w:val="21"/>
          <w:szCs w:val="21"/>
          <w:highlight w:val="none"/>
        </w:rPr>
        <w:t>供应商对同一项目多个标段进行投标的，加密电子投标文件应按标段分别提交。</w:t>
      </w:r>
      <w:r>
        <w:rPr>
          <w:color w:val="auto"/>
          <w:sz w:val="21"/>
          <w:szCs w:val="21"/>
          <w:highlight w:val="none"/>
        </w:rPr>
        <w:br w:type="page"/>
      </w:r>
    </w:p>
    <w:p>
      <w:pPr>
        <w:rPr>
          <w:rFonts w:hint="eastAsia"/>
          <w:color w:val="auto"/>
          <w:sz w:val="24"/>
          <w:szCs w:val="32"/>
          <w:highlight w:val="none"/>
        </w:rPr>
      </w:pPr>
    </w:p>
    <w:p>
      <w:pPr>
        <w:pStyle w:val="8"/>
        <w:spacing w:line="24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第二章 投标人须知</w:t>
      </w:r>
    </w:p>
    <w:p>
      <w:pPr>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投标人须知前附表</w:t>
      </w:r>
    </w:p>
    <w:p>
      <w:pPr>
        <w:pStyle w:val="56"/>
        <w:rPr>
          <w:rFonts w:hint="eastAsia" w:asciiTheme="minorEastAsia" w:hAnsiTheme="minorEastAsia" w:eastAsiaTheme="minorEastAsia" w:cstheme="minorEastAsia"/>
          <w:color w:val="auto"/>
          <w:highlight w:val="none"/>
        </w:rPr>
      </w:pPr>
    </w:p>
    <w:tbl>
      <w:tblPr>
        <w:tblStyle w:val="47"/>
        <w:tblpPr w:leftFromText="180" w:rightFromText="180" w:vertAnchor="text" w:horzAnchor="page" w:tblpX="1200" w:tblpY="197"/>
        <w:tblOverlap w:val="never"/>
        <w:tblW w:w="9879" w:type="dxa"/>
        <w:tblInd w:w="0" w:type="dxa"/>
        <w:tblLayout w:type="fixed"/>
        <w:tblCellMar>
          <w:top w:w="0" w:type="dxa"/>
          <w:left w:w="108" w:type="dxa"/>
          <w:bottom w:w="0" w:type="dxa"/>
          <w:right w:w="108" w:type="dxa"/>
        </w:tblCellMar>
      </w:tblPr>
      <w:tblGrid>
        <w:gridCol w:w="935"/>
        <w:gridCol w:w="1929"/>
        <w:gridCol w:w="7015"/>
      </w:tblGrid>
      <w:tr>
        <w:tblPrEx>
          <w:tblCellMar>
            <w:top w:w="0" w:type="dxa"/>
            <w:left w:w="108" w:type="dxa"/>
            <w:bottom w:w="0" w:type="dxa"/>
            <w:right w:w="108" w:type="dxa"/>
          </w:tblCellMar>
        </w:tblPrEx>
        <w:trPr>
          <w:trHeight w:val="806"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条款号</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条 款 名 称</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编 列 内 容</w:t>
            </w:r>
          </w:p>
        </w:tc>
      </w:tr>
      <w:tr>
        <w:tblPrEx>
          <w:tblCellMar>
            <w:top w:w="0" w:type="dxa"/>
            <w:left w:w="108" w:type="dxa"/>
            <w:bottom w:w="0" w:type="dxa"/>
            <w:right w:w="108" w:type="dxa"/>
          </w:tblCellMar>
        </w:tblPrEx>
        <w:trPr>
          <w:trHeight w:val="1486"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auto"/>
                <w:sz w:val="21"/>
                <w:szCs w:val="21"/>
                <w:highlight w:val="none"/>
              </w:rPr>
              <w:t>招标人</w:t>
            </w:r>
          </w:p>
        </w:tc>
        <w:tc>
          <w:tcPr>
            <w:tcW w:w="7015" w:type="dxa"/>
            <w:tcBorders>
              <w:top w:val="single" w:color="000000" w:sz="4" w:space="0"/>
              <w:left w:val="nil"/>
              <w:bottom w:val="single" w:color="000000" w:sz="4" w:space="0"/>
              <w:right w:val="single" w:color="000000" w:sz="4" w:space="0"/>
            </w:tcBorders>
            <w:noWrap w:val="0"/>
            <w:vAlign w:val="center"/>
          </w:tcPr>
          <w:p>
            <w:pPr>
              <w:spacing w:line="360" w:lineRule="exact"/>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 xml:space="preserve">招 标 人：平顶山交通水利建设投资有限公司         </w:t>
            </w:r>
          </w:p>
          <w:p>
            <w:pPr>
              <w:spacing w:line="360" w:lineRule="exact"/>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联 系 人：</w:t>
            </w:r>
            <w:r>
              <w:rPr>
                <w:rFonts w:hint="eastAsia" w:ascii="宋体" w:hAnsi="宋体" w:eastAsia="宋体" w:cs="宋体"/>
                <w:b w:val="0"/>
                <w:bCs w:val="0"/>
                <w:color w:val="auto"/>
                <w:sz w:val="21"/>
                <w:szCs w:val="21"/>
                <w:highlight w:val="none"/>
              </w:rPr>
              <w:t>马</w:t>
            </w:r>
            <w:r>
              <w:rPr>
                <w:rFonts w:hint="eastAsia" w:ascii="宋体" w:hAnsi="宋体" w:cs="宋体"/>
                <w:b w:val="0"/>
                <w:bCs w:val="0"/>
                <w:color w:val="auto"/>
                <w:sz w:val="21"/>
                <w:szCs w:val="21"/>
                <w:highlight w:val="none"/>
                <w:lang w:val="en-US" w:eastAsia="zh-CN"/>
              </w:rPr>
              <w:t>先生</w:t>
            </w:r>
            <w:r>
              <w:rPr>
                <w:rFonts w:hint="eastAsia" w:asciiTheme="minorEastAsia" w:hAnsiTheme="minorEastAsia" w:eastAsiaTheme="minorEastAsia" w:cstheme="minorEastAsia"/>
                <w:color w:val="auto"/>
                <w:szCs w:val="21"/>
                <w:highlight w:val="none"/>
                <w:lang w:val="en-US" w:eastAsia="zh-CN"/>
              </w:rPr>
              <w:t xml:space="preserve">         </w:t>
            </w:r>
          </w:p>
          <w:p>
            <w:pPr>
              <w:spacing w:line="360" w:lineRule="exact"/>
              <w:rPr>
                <w:rFonts w:hint="eastAsia" w:asciiTheme="minorEastAsia" w:hAnsiTheme="minorEastAsia" w:eastAsiaTheme="minorEastAsia" w:cstheme="minorEastAsia"/>
                <w:color w:val="FF0000"/>
                <w:highlight w:val="none"/>
                <w:lang w:val="en-US" w:eastAsia="zh-CN"/>
              </w:rPr>
            </w:pPr>
            <w:r>
              <w:rPr>
                <w:rFonts w:hint="eastAsia" w:asciiTheme="minorEastAsia" w:hAnsiTheme="minorEastAsia" w:eastAsiaTheme="minorEastAsia" w:cstheme="minorEastAsia"/>
                <w:color w:val="auto"/>
                <w:szCs w:val="21"/>
                <w:highlight w:val="none"/>
                <w:lang w:val="en-US" w:eastAsia="zh-CN"/>
              </w:rPr>
              <w:t xml:space="preserve">电    话：18037596888 </w:t>
            </w:r>
          </w:p>
        </w:tc>
      </w:tr>
      <w:tr>
        <w:tblPrEx>
          <w:tblCellMar>
            <w:top w:w="0" w:type="dxa"/>
            <w:left w:w="108" w:type="dxa"/>
            <w:bottom w:w="0" w:type="dxa"/>
            <w:right w:w="108" w:type="dxa"/>
          </w:tblCellMar>
        </w:tblPrEx>
        <w:trPr>
          <w:trHeight w:val="1385"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招标代理机构</w:t>
            </w:r>
          </w:p>
        </w:tc>
        <w:tc>
          <w:tcPr>
            <w:tcW w:w="7015" w:type="dxa"/>
            <w:tcBorders>
              <w:top w:val="single" w:color="000000" w:sz="4" w:space="0"/>
              <w:left w:val="nil"/>
              <w:bottom w:val="single" w:color="000000" w:sz="4" w:space="0"/>
              <w:right w:val="single" w:color="000000" w:sz="4" w:space="0"/>
            </w:tcBorders>
            <w:noWrap w:val="0"/>
            <w:vAlign w:val="center"/>
          </w:tcPr>
          <w:p>
            <w:pPr>
              <w:spacing w:line="360" w:lineRule="exact"/>
              <w:rPr>
                <w:rFonts w:hint="eastAsia"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 xml:space="preserve">招标代理机构：河南财锐工程咨询服务有限公司  </w:t>
            </w:r>
          </w:p>
          <w:p>
            <w:pPr>
              <w:spacing w:line="360" w:lineRule="exact"/>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rPr>
              <w:t>联</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系</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人：</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李女士</w:t>
            </w:r>
          </w:p>
          <w:p>
            <w:pPr>
              <w:spacing w:line="360" w:lineRule="exact"/>
              <w:rPr>
                <w:rFonts w:hint="eastAsia"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 xml:space="preserve">电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 xml:space="preserve"> 话：0375-2922888</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 xml:space="preserve">  </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 xml:space="preserve">地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rPr>
              <w:t>址：平顶山市未来路凤凰花园小区6号楼1层底商</w:t>
            </w:r>
          </w:p>
        </w:tc>
      </w:tr>
      <w:tr>
        <w:tblPrEx>
          <w:tblCellMar>
            <w:top w:w="0" w:type="dxa"/>
            <w:left w:w="108" w:type="dxa"/>
            <w:bottom w:w="0" w:type="dxa"/>
            <w:right w:w="108" w:type="dxa"/>
          </w:tblCellMar>
        </w:tblPrEx>
        <w:trPr>
          <w:trHeight w:val="5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7015" w:type="dxa"/>
            <w:tcBorders>
              <w:top w:val="single" w:color="000000" w:sz="4" w:space="0"/>
              <w:left w:val="nil"/>
              <w:bottom w:val="single" w:color="000000" w:sz="4" w:space="0"/>
              <w:right w:val="single" w:color="000000" w:sz="4" w:space="0"/>
            </w:tcBorders>
            <w:noWrap w:val="0"/>
            <w:vAlign w:val="center"/>
          </w:tcPr>
          <w:p>
            <w:pPr>
              <w:pStyle w:val="79"/>
              <w:ind w:left="0" w:leftChars="0" w:firstLine="0" w:firstLineChars="0"/>
              <w:jc w:val="lef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平顶山东部客运枢纽站项目施工及监理</w:t>
            </w:r>
          </w:p>
        </w:tc>
      </w:tr>
      <w:tr>
        <w:tblPrEx>
          <w:tblCellMar>
            <w:top w:w="0" w:type="dxa"/>
            <w:left w:w="108" w:type="dxa"/>
            <w:bottom w:w="0" w:type="dxa"/>
            <w:right w:w="108" w:type="dxa"/>
          </w:tblCellMar>
        </w:tblPrEx>
        <w:trPr>
          <w:trHeight w:val="33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建设地点</w:t>
            </w:r>
          </w:p>
        </w:tc>
        <w:tc>
          <w:tcPr>
            <w:tcW w:w="7015" w:type="dxa"/>
            <w:tcBorders>
              <w:top w:val="single" w:color="000000" w:sz="4" w:space="0"/>
              <w:left w:val="nil"/>
              <w:bottom w:val="single" w:color="000000" w:sz="4" w:space="0"/>
              <w:right w:val="single" w:color="000000" w:sz="4" w:space="0"/>
            </w:tcBorders>
            <w:noWrap w:val="0"/>
            <w:vAlign w:val="center"/>
          </w:tcPr>
          <w:p>
            <w:pPr>
              <w:spacing w:line="400" w:lineRule="exact"/>
              <w:jc w:val="left"/>
              <w:rPr>
                <w:rFonts w:hint="eastAsia" w:asciiTheme="minorEastAsia" w:hAnsiTheme="minorEastAsia" w:eastAsiaTheme="minorEastAsia" w:cstheme="minorEastAsia"/>
                <w:color w:val="auto"/>
                <w:sz w:val="21"/>
                <w:szCs w:val="21"/>
                <w:highlight w:val="none"/>
                <w:lang w:val="en-US"/>
              </w:rPr>
            </w:pPr>
            <w:r>
              <w:rPr>
                <w:rFonts w:hint="eastAsia" w:ascii="宋体" w:hAnsi="宋体" w:eastAsia="宋体" w:cs="宋体"/>
                <w:color w:val="auto"/>
                <w:sz w:val="21"/>
                <w:szCs w:val="21"/>
                <w:highlight w:val="none"/>
                <w:lang w:val="en-US" w:eastAsia="zh-CN"/>
              </w:rPr>
              <w:t>平顶山市卫东区</w:t>
            </w:r>
          </w:p>
        </w:tc>
      </w:tr>
      <w:tr>
        <w:tblPrEx>
          <w:tblCellMar>
            <w:top w:w="0" w:type="dxa"/>
            <w:left w:w="108" w:type="dxa"/>
            <w:bottom w:w="0" w:type="dxa"/>
            <w:right w:w="108" w:type="dxa"/>
          </w:tblCellMar>
        </w:tblPrEx>
        <w:trPr>
          <w:trHeight w:val="5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资金来源</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自筹</w:t>
            </w:r>
            <w:r>
              <w:rPr>
                <w:rFonts w:hint="eastAsia" w:asciiTheme="minorEastAsia" w:hAnsiTheme="minorEastAsia" w:eastAsiaTheme="minorEastAsia" w:cstheme="minorEastAsia"/>
                <w:color w:val="auto"/>
                <w:sz w:val="21"/>
                <w:szCs w:val="21"/>
                <w:highlight w:val="none"/>
              </w:rPr>
              <w:t>资金</w:t>
            </w:r>
          </w:p>
        </w:tc>
      </w:tr>
      <w:tr>
        <w:tblPrEx>
          <w:tblCellMar>
            <w:top w:w="0" w:type="dxa"/>
            <w:left w:w="108" w:type="dxa"/>
            <w:bottom w:w="0" w:type="dxa"/>
            <w:right w:w="108" w:type="dxa"/>
          </w:tblCellMar>
        </w:tblPrEx>
        <w:trPr>
          <w:trHeight w:val="5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招标范围</w:t>
            </w:r>
          </w:p>
        </w:tc>
        <w:tc>
          <w:tcPr>
            <w:tcW w:w="7015" w:type="dxa"/>
            <w:tcBorders>
              <w:top w:val="single" w:color="000000" w:sz="4" w:space="0"/>
              <w:left w:val="nil"/>
              <w:bottom w:val="single" w:color="000000" w:sz="4" w:space="0"/>
              <w:right w:val="single" w:color="000000" w:sz="4" w:space="0"/>
            </w:tcBorders>
            <w:noWrap w:val="0"/>
            <w:vAlign w:val="center"/>
          </w:tcPr>
          <w:p>
            <w:pPr>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施工及保修阶段全过程监理（包括与本项目有直接关系的工程施工、项目相关的配套设备安装过程中质量、进度、投资控制、信息管理；施工现场协调等；并履行安全、文明生产、环境保护监督管理的法定职责 ）</w:t>
            </w:r>
          </w:p>
        </w:tc>
      </w:tr>
      <w:tr>
        <w:tblPrEx>
          <w:tblCellMar>
            <w:top w:w="0" w:type="dxa"/>
            <w:left w:w="108" w:type="dxa"/>
            <w:bottom w:w="0" w:type="dxa"/>
            <w:right w:w="108" w:type="dxa"/>
          </w:tblCellMar>
        </w:tblPrEx>
        <w:trPr>
          <w:trHeight w:val="5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工期控制目标</w:t>
            </w:r>
          </w:p>
        </w:tc>
        <w:tc>
          <w:tcPr>
            <w:tcW w:w="7015" w:type="dxa"/>
            <w:tcBorders>
              <w:top w:val="single" w:color="000000" w:sz="4" w:space="0"/>
              <w:left w:val="nil"/>
              <w:bottom w:val="single" w:color="000000" w:sz="4" w:space="0"/>
              <w:right w:val="single" w:color="000000" w:sz="4" w:space="0"/>
            </w:tcBorders>
            <w:noWrap w:val="0"/>
            <w:vAlign w:val="center"/>
          </w:tcPr>
          <w:p>
            <w:pPr>
              <w:pStyle w:val="43"/>
              <w:adjustRightInd w:val="0"/>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施工中标工期加工程保修期</w:t>
            </w:r>
          </w:p>
        </w:tc>
      </w:tr>
      <w:tr>
        <w:tblPrEx>
          <w:tblCellMar>
            <w:top w:w="0" w:type="dxa"/>
            <w:left w:w="108" w:type="dxa"/>
            <w:bottom w:w="0" w:type="dxa"/>
            <w:right w:w="108" w:type="dxa"/>
          </w:tblCellMar>
        </w:tblPrEx>
        <w:trPr>
          <w:trHeight w:val="5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质量控制目标</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合格工程</w:t>
            </w:r>
          </w:p>
        </w:tc>
      </w:tr>
      <w:tr>
        <w:tblPrEx>
          <w:tblCellMar>
            <w:top w:w="0" w:type="dxa"/>
            <w:left w:w="108" w:type="dxa"/>
            <w:bottom w:w="0" w:type="dxa"/>
            <w:right w:w="108" w:type="dxa"/>
          </w:tblCellMar>
        </w:tblPrEx>
        <w:trPr>
          <w:trHeight w:val="623"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投标人资格要求</w:t>
            </w:r>
          </w:p>
        </w:tc>
        <w:tc>
          <w:tcPr>
            <w:tcW w:w="7015" w:type="dxa"/>
            <w:tcBorders>
              <w:top w:val="single" w:color="000000" w:sz="4" w:space="0"/>
              <w:left w:val="nil"/>
              <w:bottom w:val="single" w:color="000000" w:sz="4" w:space="0"/>
              <w:right w:val="single" w:color="000000" w:sz="4" w:space="0"/>
            </w:tcBorders>
            <w:noWrap w:val="0"/>
            <w:vAlign w:val="center"/>
          </w:tcPr>
          <w:p>
            <w:pPr>
              <w:widowControl/>
              <w:spacing w:line="390" w:lineRule="exact"/>
              <w:rPr>
                <w:rFonts w:hint="eastAsia" w:asciiTheme="minorEastAsia" w:hAnsiTheme="minorEastAsia" w:eastAsiaTheme="minorEastAsia" w:cstheme="minorEastAsia"/>
                <w:bCs/>
                <w:color w:val="auto"/>
                <w:spacing w:val="8"/>
                <w:highlight w:val="none"/>
              </w:rPr>
            </w:pPr>
            <w:r>
              <w:rPr>
                <w:rFonts w:hint="eastAsia" w:asciiTheme="minorEastAsia" w:hAnsiTheme="minorEastAsia" w:eastAsiaTheme="minorEastAsia" w:cstheme="minorEastAsia"/>
                <w:color w:val="auto"/>
                <w:sz w:val="21"/>
                <w:szCs w:val="21"/>
                <w:highlight w:val="none"/>
              </w:rPr>
              <w:t xml:space="preserve">详见招标文件第一章 招标公告 </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第</w:t>
            </w:r>
            <w:r>
              <w:rPr>
                <w:rFonts w:hint="eastAsia" w:asciiTheme="minorEastAsia" w:hAnsiTheme="minorEastAsia" w:eastAsiaTheme="minorEastAsia" w:cstheme="minorEastAsia"/>
                <w:color w:val="auto"/>
                <w:sz w:val="21"/>
                <w:szCs w:val="21"/>
                <w:highlight w:val="none"/>
                <w:lang w:eastAsia="zh-CN"/>
              </w:rPr>
              <w:t>二</w:t>
            </w:r>
            <w:r>
              <w:rPr>
                <w:rFonts w:hint="eastAsia" w:asciiTheme="minorEastAsia" w:hAnsiTheme="minorEastAsia" w:eastAsiaTheme="minorEastAsia" w:cstheme="minorEastAsia"/>
                <w:color w:val="auto"/>
                <w:sz w:val="21"/>
                <w:szCs w:val="21"/>
                <w:highlight w:val="none"/>
              </w:rPr>
              <w:t>标段资格要求</w:t>
            </w:r>
            <w:r>
              <w:rPr>
                <w:rFonts w:hint="eastAsia" w:asciiTheme="minorEastAsia" w:hAnsiTheme="minorEastAsia" w:eastAsiaTheme="minorEastAsia" w:cstheme="minorEastAsia"/>
                <w:color w:val="auto"/>
                <w:sz w:val="21"/>
                <w:szCs w:val="21"/>
                <w:highlight w:val="none"/>
                <w:lang w:eastAsia="zh-CN"/>
              </w:rPr>
              <w:t>”</w:t>
            </w:r>
          </w:p>
        </w:tc>
      </w:tr>
      <w:tr>
        <w:tblPrEx>
          <w:tblCellMar>
            <w:top w:w="0" w:type="dxa"/>
            <w:left w:w="108" w:type="dxa"/>
            <w:bottom w:w="0" w:type="dxa"/>
            <w:right w:w="108" w:type="dxa"/>
          </w:tblCellMar>
        </w:tblPrEx>
        <w:trPr>
          <w:trHeight w:val="452"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是否接受联合体</w:t>
            </w:r>
          </w:p>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不接受</w:t>
            </w:r>
          </w:p>
        </w:tc>
      </w:tr>
      <w:tr>
        <w:tblPrEx>
          <w:tblCellMar>
            <w:top w:w="0" w:type="dxa"/>
            <w:left w:w="108" w:type="dxa"/>
            <w:bottom w:w="0" w:type="dxa"/>
            <w:right w:w="108" w:type="dxa"/>
          </w:tblCellMar>
        </w:tblPrEx>
        <w:trPr>
          <w:trHeight w:val="45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踏勘现场</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不组织勘察现场</w:t>
            </w:r>
          </w:p>
        </w:tc>
      </w:tr>
      <w:tr>
        <w:tblPrEx>
          <w:tblCellMar>
            <w:top w:w="0" w:type="dxa"/>
            <w:left w:w="108" w:type="dxa"/>
            <w:bottom w:w="0" w:type="dxa"/>
            <w:right w:w="108" w:type="dxa"/>
          </w:tblCellMar>
        </w:tblPrEx>
        <w:trPr>
          <w:trHeight w:val="444"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投标预备会</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不召开</w:t>
            </w:r>
          </w:p>
        </w:tc>
      </w:tr>
      <w:tr>
        <w:tblPrEx>
          <w:tblCellMar>
            <w:top w:w="0" w:type="dxa"/>
            <w:left w:w="108" w:type="dxa"/>
            <w:bottom w:w="0" w:type="dxa"/>
            <w:right w:w="108" w:type="dxa"/>
          </w:tblCellMar>
        </w:tblPrEx>
        <w:trPr>
          <w:trHeight w:val="384"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分包</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CellMar>
            <w:top w:w="0" w:type="dxa"/>
            <w:left w:w="108" w:type="dxa"/>
            <w:bottom w:w="0" w:type="dxa"/>
            <w:right w:w="108" w:type="dxa"/>
          </w:tblCellMar>
        </w:tblPrEx>
        <w:trPr>
          <w:trHeight w:val="298"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w:t>
            </w:r>
          </w:p>
        </w:tc>
        <w:tc>
          <w:tcPr>
            <w:tcW w:w="7015" w:type="dxa"/>
            <w:tcBorders>
              <w:top w:val="single" w:color="000000" w:sz="4" w:space="0"/>
              <w:left w:val="nil"/>
              <w:bottom w:val="single" w:color="000000" w:sz="4" w:space="0"/>
              <w:right w:val="single" w:color="000000" w:sz="4" w:space="0"/>
            </w:tcBorders>
            <w:noWrap w:val="0"/>
            <w:vAlign w:val="top"/>
          </w:tcPr>
          <w:p>
            <w:pPr>
              <w:pStyle w:val="43"/>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tc>
      </w:tr>
      <w:tr>
        <w:tblPrEx>
          <w:tblCellMar>
            <w:top w:w="0" w:type="dxa"/>
            <w:left w:w="108" w:type="dxa"/>
            <w:bottom w:w="0" w:type="dxa"/>
            <w:right w:w="108" w:type="dxa"/>
          </w:tblCellMar>
        </w:tblPrEx>
        <w:trPr>
          <w:trHeight w:val="384"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构成招标文件的其他材料</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答疑、补遗、招标文件补充材料</w:t>
            </w:r>
          </w:p>
        </w:tc>
      </w:tr>
      <w:tr>
        <w:tblPrEx>
          <w:tblCellMar>
            <w:top w:w="0" w:type="dxa"/>
            <w:left w:w="108" w:type="dxa"/>
            <w:bottom w:w="0" w:type="dxa"/>
            <w:right w:w="108" w:type="dxa"/>
          </w:tblCellMar>
        </w:tblPrEx>
        <w:trPr>
          <w:trHeight w:val="384"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投标人提出问题的截止时间</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提交电子投标文件截止时间</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日前</w:t>
            </w:r>
          </w:p>
        </w:tc>
      </w:tr>
      <w:tr>
        <w:tblPrEx>
          <w:tblCellMar>
            <w:top w:w="0" w:type="dxa"/>
            <w:left w:w="108" w:type="dxa"/>
            <w:bottom w:w="0" w:type="dxa"/>
            <w:right w:w="108" w:type="dxa"/>
          </w:tblCellMar>
        </w:tblPrEx>
        <w:trPr>
          <w:trHeight w:val="525"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招标人发出澄清、修改的时间</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提交电子投标文件截止时间15日前，在电子交易系统中向各投标人发出</w:t>
            </w:r>
          </w:p>
        </w:tc>
      </w:tr>
      <w:tr>
        <w:tblPrEx>
          <w:tblCellMar>
            <w:top w:w="0" w:type="dxa"/>
            <w:left w:w="108" w:type="dxa"/>
            <w:bottom w:w="0" w:type="dxa"/>
            <w:right w:w="108" w:type="dxa"/>
          </w:tblCellMar>
        </w:tblPrEx>
        <w:trPr>
          <w:trHeight w:val="559"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招标控制价</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本项目第二标段招标控制价为：</w:t>
            </w:r>
          </w:p>
          <w:p>
            <w:pPr>
              <w:pStyle w:val="43"/>
              <w:spacing w:before="0" w:beforeAutospacing="0" w:after="0" w:afterAutospacing="0" w:line="360" w:lineRule="auto"/>
              <w:jc w:val="both"/>
              <w:rPr>
                <w:rFonts w:hint="default" w:asciiTheme="minorEastAsia" w:hAnsiTheme="minorEastAsia" w:eastAsiaTheme="minorEastAsia" w:cstheme="minorEastAsia"/>
                <w:b/>
                <w:bCs/>
                <w:color w:val="auto"/>
                <w:sz w:val="24"/>
                <w:szCs w:val="24"/>
                <w:highlight w:val="none"/>
                <w:u w:val="none"/>
                <w:lang w:val="en-US"/>
              </w:rPr>
            </w:pPr>
            <w:r>
              <w:rPr>
                <w:rFonts w:hint="eastAsia" w:asciiTheme="minorEastAsia" w:hAnsiTheme="minorEastAsia" w:eastAsiaTheme="minorEastAsia" w:cstheme="minorEastAsia"/>
                <w:b/>
                <w:bCs/>
                <w:color w:val="auto"/>
                <w:sz w:val="24"/>
                <w:szCs w:val="24"/>
                <w:highlight w:val="none"/>
                <w:u w:val="none"/>
                <w:lang w:val="en-US" w:eastAsia="zh-CN"/>
              </w:rPr>
              <w:t>(小写)：2320000.00元</w:t>
            </w:r>
          </w:p>
          <w:p>
            <w:pPr>
              <w:pStyle w:val="43"/>
              <w:spacing w:before="0" w:beforeAutospacing="0" w:after="0" w:afterAutospacing="0" w:line="360" w:lineRule="auto"/>
              <w:jc w:val="both"/>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(大写)：贰佰叁拾贰万元整</w:t>
            </w:r>
          </w:p>
          <w:p>
            <w:pPr>
              <w:pStyle w:val="43"/>
              <w:spacing w:before="0" w:beforeAutospacing="0" w:after="0" w:afterAutospacing="0"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auto"/>
                <w:sz w:val="21"/>
                <w:szCs w:val="21"/>
                <w:highlight w:val="none"/>
              </w:rPr>
              <w:t>投标人投标报价超过招标控制价者，视为无效投标。</w:t>
            </w:r>
          </w:p>
        </w:tc>
      </w:tr>
      <w:tr>
        <w:tblPrEx>
          <w:tblCellMar>
            <w:top w:w="0" w:type="dxa"/>
            <w:left w:w="108" w:type="dxa"/>
            <w:bottom w:w="0" w:type="dxa"/>
            <w:right w:w="108" w:type="dxa"/>
          </w:tblCellMar>
        </w:tblPrEx>
        <w:trPr>
          <w:trHeight w:val="373"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投标有效期</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90日历天（从投标截止之日起计算）</w:t>
            </w:r>
          </w:p>
        </w:tc>
      </w:tr>
      <w:tr>
        <w:tblPrEx>
          <w:tblCellMar>
            <w:top w:w="0" w:type="dxa"/>
            <w:left w:w="108" w:type="dxa"/>
            <w:bottom w:w="0" w:type="dxa"/>
            <w:right w:w="108" w:type="dxa"/>
          </w:tblCellMar>
        </w:tblPrEx>
        <w:trPr>
          <w:trHeight w:val="1458"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exact"/>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（1）、该项目第一标段投标保证金的金额为：</w:t>
            </w:r>
          </w:p>
          <w:p>
            <w:pPr>
              <w:pStyle w:val="43"/>
              <w:spacing w:before="0" w:beforeAutospacing="0" w:after="0" w:afterAutospacing="0" w:line="360" w:lineRule="exact"/>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大写：肆万陆仟元</w:t>
            </w: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整</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（人民币）小写：</w:t>
            </w: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46000.00</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元</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（2）、保证金递交的截止时间：2022年</w:t>
            </w:r>
            <w:r>
              <w:rPr>
                <w:rFonts w:hint="eastAsia" w:asciiTheme="minorEastAsia" w:hAnsiTheme="minorEastAsia" w:eastAsiaTheme="minorEastAsia" w:cstheme="minorEastAsia"/>
                <w:b w:val="0"/>
                <w:bCs w:val="0"/>
                <w:color w:val="000000" w:themeColor="text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月</w:t>
            </w:r>
            <w:r>
              <w:rPr>
                <w:rFonts w:hint="eastAsia" w:asciiTheme="minorEastAsia" w:hAnsiTheme="minorEastAsia" w:eastAsiaTheme="minorEastAsia" w:cstheme="minorEastAsia"/>
                <w:b w:val="0"/>
                <w:bCs w:val="0"/>
                <w:color w:val="000000" w:themeColor="text1"/>
                <w:szCs w:val="21"/>
                <w:highlight w:val="none"/>
                <w:lang w:val="en-US" w:eastAsia="zh-CN"/>
                <w14:textFill>
                  <w14:solidFill>
                    <w14:schemeClr w14:val="tx1"/>
                  </w14:solidFill>
                </w14:textFill>
              </w:rPr>
              <w:t>21</w:t>
            </w: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日23时59分前；</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（3）、递交形式：投标人可以选择以下两种形式中的任一种递交投标保证金。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①投标人登录全国公共资源交易平台（河南省·平顶山）电子化交易系统 （http://221.176.192.166:8080/ggzy），对应已参与投标项目依次点击“参与投标”→“费用缴纳指南”→“费用缴纳 说明”→“保证金缴纳说明单”，获取平顶山银行虚拟子账户缴纳说明单，根据每个标段缴纳说明单生成的银行账户在缴纳截止时间前缴纳。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成功缴纳后重新登录前述系统查询确定费用到账，依次点击 “参与投标”→“保证金绑定”→“绑定”进行投标保证金绑定。 投标人要严格按照“保证金缴纳说明单”内容缴纳、绑定投标 保证金，未绑定标段的投标保证金，视为未按时交纳。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每个投标人每个项目每个标段只有唯一缴纳账号，切勿重复或错误缴纳。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未按上述规定操作引起的无效投标，由投标人自行负责。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②投标人提交电子投标保函的，投标人可以在全国公共资源交易平 台（河南省·平顶山）电子化交易系统（http://221.176.192.166:8080/ ggzy）统“电子保函申请”中自主选择承保机构办理电子保函业务。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（4）、投标人应仔细阅读操作手册，在本公告中要求的截止时间 前完成招标文件下载、投标保证金的缴纳和绑定、投标文件上传等 工作，并充分考虑人为操作和银行异地跨行转账到账的时间等因素。因投标人操作不当或银行到账时间等问题造成的无法下载招标 文件、无法投标等一切后果，由投标人自行承担。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（5）、投标人少缴保证金属无效缴纳； </w:t>
            </w:r>
          </w:p>
          <w:p>
            <w:pPr>
              <w:pStyle w:val="43"/>
              <w:spacing w:before="0" w:beforeAutospacing="0" w:after="0" w:afterAutospacing="0" w:line="360" w:lineRule="exact"/>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（6）、规定投标保证金到账截止时间为开标前一日 24 点，节假日除外（超时到账视为未缴纳保证金，取消报名资格）； </w:t>
            </w:r>
          </w:p>
          <w:p>
            <w:pPr>
              <w:pStyle w:val="43"/>
              <w:spacing w:before="0" w:beforeAutospacing="0" w:after="0" w:afterAutospacing="0" w:line="3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highlight w:val="none"/>
                <w14:textFill>
                  <w14:solidFill>
                    <w14:schemeClr w14:val="tx1"/>
                  </w14:solidFill>
                </w14:textFill>
              </w:rPr>
              <w:t xml:space="preserve">（7）、废标项目重新招标时，必须按修改后的招标文件重新缴纳保证金，原缴纳保证金及时退还。 </w:t>
            </w:r>
          </w:p>
        </w:tc>
      </w:tr>
      <w:tr>
        <w:tblPrEx>
          <w:tblCellMar>
            <w:top w:w="0" w:type="dxa"/>
            <w:left w:w="108" w:type="dxa"/>
            <w:bottom w:w="0" w:type="dxa"/>
            <w:right w:w="108" w:type="dxa"/>
          </w:tblCellMar>
        </w:tblPrEx>
        <w:trPr>
          <w:trHeight w:val="672"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w:t>
            </w:r>
          </w:p>
        </w:tc>
        <w:tc>
          <w:tcPr>
            <w:tcW w:w="1929"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近年财务状况的年份要求</w:t>
            </w:r>
          </w:p>
        </w:tc>
        <w:tc>
          <w:tcPr>
            <w:tcW w:w="701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2019、2020、2021</w:t>
            </w:r>
            <w:r>
              <w:rPr>
                <w:rFonts w:hint="eastAsia" w:asciiTheme="minorEastAsia" w:hAnsiTheme="minorEastAsia" w:eastAsiaTheme="minorEastAsia" w:cstheme="minorEastAsia"/>
                <w:color w:val="auto"/>
                <w:highlight w:val="none"/>
              </w:rPr>
              <w:t>年度经审计的财务</w:t>
            </w:r>
            <w:r>
              <w:rPr>
                <w:rFonts w:hint="eastAsia" w:asciiTheme="minorEastAsia" w:hAnsiTheme="minorEastAsia" w:eastAsiaTheme="minorEastAsia" w:cstheme="minorEastAsia"/>
                <w:color w:val="auto"/>
                <w:highlight w:val="none"/>
                <w:lang w:val="en-US" w:eastAsia="zh-CN"/>
              </w:rPr>
              <w:t>审计报告或其基本户银行出具的资信证明</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；若投标人为新成立企业，提供自注册年度后的经审计的财务报表</w:t>
            </w:r>
          </w:p>
        </w:tc>
      </w:tr>
      <w:tr>
        <w:tblPrEx>
          <w:tblCellMar>
            <w:top w:w="0" w:type="dxa"/>
            <w:left w:w="108" w:type="dxa"/>
            <w:bottom w:w="0" w:type="dxa"/>
            <w:right w:w="108" w:type="dxa"/>
          </w:tblCellMar>
        </w:tblPrEx>
        <w:trPr>
          <w:trHeight w:val="41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w:t>
            </w:r>
          </w:p>
        </w:tc>
        <w:tc>
          <w:tcPr>
            <w:tcW w:w="1929"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类似业绩年份要求</w:t>
            </w:r>
          </w:p>
        </w:tc>
        <w:tc>
          <w:tcPr>
            <w:tcW w:w="7015" w:type="dxa"/>
            <w:tcBorders>
              <w:top w:val="single" w:color="000000" w:sz="4" w:space="0"/>
              <w:left w:val="nil"/>
              <w:bottom w:val="single" w:color="000000" w:sz="4" w:space="0"/>
              <w:right w:val="single" w:color="000000" w:sz="4" w:space="0"/>
            </w:tcBorders>
            <w:noWrap w:val="0"/>
            <w:vAlign w:val="center"/>
          </w:tcPr>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kern w:val="1"/>
                <w:highlight w:val="none"/>
              </w:rPr>
              <w:t>201</w:t>
            </w:r>
            <w:r>
              <w:rPr>
                <w:rFonts w:hint="eastAsia" w:asciiTheme="minorEastAsia" w:hAnsiTheme="minorEastAsia" w:eastAsiaTheme="minorEastAsia" w:cstheme="minorEastAsia"/>
                <w:bCs/>
                <w:color w:val="auto"/>
                <w:kern w:val="1"/>
                <w:highlight w:val="none"/>
                <w:lang w:val="en-US" w:eastAsia="zh-CN"/>
              </w:rPr>
              <w:t>9</w:t>
            </w:r>
            <w:r>
              <w:rPr>
                <w:rFonts w:hint="eastAsia" w:asciiTheme="minorEastAsia" w:hAnsiTheme="minorEastAsia" w:eastAsiaTheme="minorEastAsia" w:cstheme="minorEastAsia"/>
                <w:bCs/>
                <w:color w:val="auto"/>
                <w:kern w:val="1"/>
                <w:highlight w:val="none"/>
              </w:rPr>
              <w:t>年</w:t>
            </w:r>
            <w:r>
              <w:rPr>
                <w:rFonts w:hint="eastAsia" w:asciiTheme="minorEastAsia" w:hAnsiTheme="minorEastAsia" w:eastAsiaTheme="minorEastAsia" w:cstheme="minorEastAsia"/>
                <w:color w:val="auto"/>
                <w:highlight w:val="none"/>
              </w:rPr>
              <w:t>1月1日以来</w:t>
            </w:r>
          </w:p>
        </w:tc>
      </w:tr>
      <w:tr>
        <w:tblPrEx>
          <w:tblCellMar>
            <w:top w:w="0" w:type="dxa"/>
            <w:left w:w="108" w:type="dxa"/>
            <w:bottom w:w="0" w:type="dxa"/>
            <w:right w:w="108" w:type="dxa"/>
          </w:tblCellMar>
        </w:tblPrEx>
        <w:trPr>
          <w:trHeight w:val="45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投标文件份数</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电子</w:t>
            </w:r>
            <w:r>
              <w:rPr>
                <w:rFonts w:hint="eastAsia" w:asciiTheme="minorEastAsia" w:hAnsiTheme="minorEastAsia" w:eastAsiaTheme="minorEastAsia" w:cstheme="minorEastAsia"/>
                <w:b/>
                <w:bCs/>
                <w:color w:val="auto"/>
                <w:szCs w:val="21"/>
                <w:highlight w:val="none"/>
                <w:lang w:eastAsia="zh-CN"/>
              </w:rPr>
              <w:t>交易系统中递交电子</w:t>
            </w:r>
            <w:r>
              <w:rPr>
                <w:rFonts w:hint="eastAsia" w:asciiTheme="minorEastAsia" w:hAnsiTheme="minorEastAsia" w:eastAsiaTheme="minorEastAsia" w:cstheme="minorEastAsia"/>
                <w:b/>
                <w:bCs/>
                <w:color w:val="auto"/>
                <w:szCs w:val="21"/>
                <w:highlight w:val="none"/>
              </w:rPr>
              <w:t>投标文件一份。</w:t>
            </w:r>
          </w:p>
          <w:p>
            <w:pPr>
              <w:pStyle w:val="43"/>
              <w:spacing w:before="0" w:beforeAutospacing="0" w:after="0" w:afterAutospacing="0" w:line="360" w:lineRule="auto"/>
              <w:jc w:val="both"/>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val="0"/>
                <w:bCs w:val="0"/>
                <w:color w:val="000000"/>
                <w:szCs w:val="21"/>
                <w:highlight w:val="none"/>
                <w:lang w:val="en-US" w:eastAsia="zh-CN" w:bidi="ar-SA"/>
              </w:rPr>
              <w:t>中标单位办理中标通知书后，根据招标人要求按规定方式提供纸质投标文件。</w:t>
            </w:r>
          </w:p>
        </w:tc>
      </w:tr>
      <w:tr>
        <w:tblPrEx>
          <w:tblCellMar>
            <w:top w:w="0" w:type="dxa"/>
            <w:left w:w="108" w:type="dxa"/>
            <w:bottom w:w="0" w:type="dxa"/>
            <w:right w:w="108" w:type="dxa"/>
          </w:tblCellMar>
        </w:tblPrEx>
        <w:trPr>
          <w:trHeight w:val="667"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3.8</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签字或盖章要求</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招标文件规定的投标文件格式中所有签字盖章的地方必须按招标文件明示的方式签字或盖章</w:t>
            </w:r>
          </w:p>
        </w:tc>
      </w:tr>
      <w:tr>
        <w:tblPrEx>
          <w:tblCellMar>
            <w:top w:w="0" w:type="dxa"/>
            <w:left w:w="108" w:type="dxa"/>
            <w:bottom w:w="0" w:type="dxa"/>
            <w:right w:w="108" w:type="dxa"/>
          </w:tblCellMar>
        </w:tblPrEx>
        <w:trPr>
          <w:trHeight w:val="9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1</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投标截止时间</w:t>
            </w:r>
          </w:p>
        </w:tc>
        <w:tc>
          <w:tcPr>
            <w:tcW w:w="701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kern w:val="0"/>
                <w:highlight w:val="none"/>
                <w:lang w:val="en-US" w:eastAsia="zh-CN"/>
              </w:rPr>
              <w:t>2</w:t>
            </w:r>
            <w:r>
              <w:rPr>
                <w:rFonts w:hint="eastAsia" w:asciiTheme="minorEastAsia" w:hAnsiTheme="minorEastAsia" w:eastAsiaTheme="minorEastAsia" w:cstheme="minorEastAsia"/>
                <w:b/>
                <w:color w:val="000000" w:themeColor="text1"/>
                <w:kern w:val="0"/>
                <w:highlight w:val="none"/>
                <w:lang w:val="en-US" w:eastAsia="zh-CN"/>
                <w14:textFill>
                  <w14:solidFill>
                    <w14:schemeClr w14:val="tx1"/>
                  </w14:solidFill>
                </w14:textFill>
              </w:rPr>
              <w:t>022</w:t>
            </w:r>
            <w:r>
              <w:rPr>
                <w:rFonts w:hint="eastAsia" w:asciiTheme="minorEastAsia" w:hAnsiTheme="minorEastAsia" w:eastAsiaTheme="minorEastAsia" w:cstheme="minorEastAsia"/>
                <w:b/>
                <w:color w:val="000000" w:themeColor="text1"/>
                <w:kern w:val="0"/>
                <w:highlight w:val="none"/>
                <w14:textFill>
                  <w14:solidFill>
                    <w14:schemeClr w14:val="tx1"/>
                  </w14:solidFill>
                </w14:textFill>
              </w:rPr>
              <w:t>年</w:t>
            </w:r>
            <w:r>
              <w:rPr>
                <w:rFonts w:hint="eastAsia" w:asciiTheme="minorEastAsia" w:hAnsiTheme="minorEastAsia" w:eastAsiaTheme="minorEastAsia" w:cstheme="minorEastAsia"/>
                <w:b/>
                <w:color w:val="000000" w:themeColor="text1"/>
                <w:kern w:val="0"/>
                <w:highlight w:val="none"/>
                <w:lang w:val="en-US" w:eastAsia="zh-CN"/>
                <w14:textFill>
                  <w14:solidFill>
                    <w14:schemeClr w14:val="tx1"/>
                  </w14:solidFill>
                </w14:textFill>
              </w:rPr>
              <w:t>11</w:t>
            </w:r>
            <w:r>
              <w:rPr>
                <w:rFonts w:hint="eastAsia" w:asciiTheme="minorEastAsia" w:hAnsiTheme="minorEastAsia" w:eastAsiaTheme="minorEastAsia" w:cstheme="minorEastAsia"/>
                <w:b/>
                <w:color w:val="000000" w:themeColor="text1"/>
                <w:kern w:val="0"/>
                <w:highlight w:val="none"/>
                <w14:textFill>
                  <w14:solidFill>
                    <w14:schemeClr w14:val="tx1"/>
                  </w14:solidFill>
                </w14:textFill>
              </w:rPr>
              <w:t>月</w:t>
            </w:r>
            <w:r>
              <w:rPr>
                <w:rFonts w:hint="eastAsia" w:asciiTheme="minorEastAsia" w:hAnsiTheme="minorEastAsia" w:eastAsiaTheme="minorEastAsia" w:cstheme="minorEastAsia"/>
                <w:b/>
                <w:color w:val="000000" w:themeColor="text1"/>
                <w:kern w:val="0"/>
                <w:highlight w:val="none"/>
                <w:lang w:val="en-US" w:eastAsia="zh-CN"/>
                <w14:textFill>
                  <w14:solidFill>
                    <w14:schemeClr w14:val="tx1"/>
                  </w14:solidFill>
                </w14:textFill>
              </w:rPr>
              <w:t>22</w:t>
            </w:r>
            <w:r>
              <w:rPr>
                <w:rFonts w:hint="eastAsia" w:asciiTheme="minorEastAsia" w:hAnsiTheme="minorEastAsia" w:eastAsiaTheme="minorEastAsia" w:cstheme="minorEastAsia"/>
                <w:b/>
                <w:color w:val="000000" w:themeColor="text1"/>
                <w:kern w:val="0"/>
                <w:highlight w:val="none"/>
                <w14:textFill>
                  <w14:solidFill>
                    <w14:schemeClr w14:val="tx1"/>
                  </w14:solidFill>
                </w14:textFill>
              </w:rPr>
              <w:t>日 上午</w:t>
            </w:r>
            <w:r>
              <w:rPr>
                <w:rFonts w:hint="eastAsia" w:asciiTheme="minorEastAsia" w:hAnsiTheme="minorEastAsia" w:eastAsiaTheme="minorEastAsia" w:cstheme="minorEastAsia"/>
                <w:b/>
                <w:color w:val="000000" w:themeColor="text1"/>
                <w:kern w:val="0"/>
                <w:highlight w:val="none"/>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kern w:val="0"/>
                <w:highlight w:val="none"/>
                <w14:textFill>
                  <w14:solidFill>
                    <w14:schemeClr w14:val="tx1"/>
                  </w14:solidFill>
                </w14:textFill>
              </w:rPr>
              <w:t>时</w:t>
            </w:r>
            <w:r>
              <w:rPr>
                <w:rFonts w:hint="eastAsia" w:asciiTheme="minorEastAsia" w:hAnsiTheme="minorEastAsia" w:eastAsiaTheme="minorEastAsia" w:cstheme="minorEastAsia"/>
                <w:b/>
                <w:color w:val="000000" w:themeColor="text1"/>
                <w:kern w:val="0"/>
                <w:highlight w:val="none"/>
                <w:lang w:val="en-US" w:eastAsia="zh-CN"/>
                <w14:textFill>
                  <w14:solidFill>
                    <w14:schemeClr w14:val="tx1"/>
                  </w14:solidFill>
                </w14:textFill>
              </w:rPr>
              <w:t>00</w:t>
            </w:r>
            <w:r>
              <w:rPr>
                <w:rFonts w:hint="eastAsia" w:asciiTheme="minorEastAsia" w:hAnsiTheme="minorEastAsia" w:eastAsiaTheme="minorEastAsia" w:cstheme="minorEastAsia"/>
                <w:b/>
                <w:color w:val="000000" w:themeColor="text1"/>
                <w:kern w:val="0"/>
                <w:highlight w:val="none"/>
                <w14:textFill>
                  <w14:solidFill>
                    <w14:schemeClr w14:val="tx1"/>
                  </w14:solidFill>
                </w14:textFill>
              </w:rPr>
              <w:t>分</w:t>
            </w:r>
            <w:r>
              <w:rPr>
                <w:rFonts w:hint="eastAsia" w:asciiTheme="minorEastAsia" w:hAnsiTheme="minorEastAsia" w:eastAsiaTheme="minorEastAsia" w:cstheme="minorEastAsia"/>
                <w:b/>
                <w:color w:val="FF0000"/>
                <w:kern w:val="0"/>
                <w:highlight w:val="none"/>
              </w:rPr>
              <w:t xml:space="preserve"> </w:t>
            </w:r>
            <w:r>
              <w:rPr>
                <w:rFonts w:hint="eastAsia" w:asciiTheme="minorEastAsia" w:hAnsiTheme="minorEastAsia" w:eastAsiaTheme="minorEastAsia" w:cstheme="minorEastAsia"/>
                <w:color w:val="auto"/>
                <w:sz w:val="21"/>
                <w:szCs w:val="21"/>
                <w:highlight w:val="none"/>
              </w:rPr>
              <w:t>（在疫情期间如有变化，请各潜在投标人及时关注中心网站）</w:t>
            </w:r>
          </w:p>
        </w:tc>
      </w:tr>
      <w:tr>
        <w:tblPrEx>
          <w:tblCellMar>
            <w:top w:w="0" w:type="dxa"/>
            <w:left w:w="108" w:type="dxa"/>
            <w:bottom w:w="0" w:type="dxa"/>
            <w:right w:w="108" w:type="dxa"/>
          </w:tblCellMar>
        </w:tblPrEx>
        <w:trPr>
          <w:trHeight w:val="38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2</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递交投标文件地点</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zh-CN"/>
              </w:rPr>
              <w:t>平顶山市公共资源交易中心</w:t>
            </w:r>
            <w:r>
              <w:rPr>
                <w:rFonts w:hint="eastAsia" w:asciiTheme="minorEastAsia" w:hAnsiTheme="minorEastAsia" w:eastAsiaTheme="minorEastAsia" w:cstheme="minorEastAsia"/>
                <w:b/>
                <w:color w:val="auto"/>
                <w:sz w:val="21"/>
                <w:szCs w:val="21"/>
                <w:highlight w:val="none"/>
                <w:lang w:val="en-US" w:eastAsia="zh-CN"/>
              </w:rPr>
              <w:t>系统</w:t>
            </w:r>
          </w:p>
        </w:tc>
      </w:tr>
      <w:tr>
        <w:tblPrEx>
          <w:tblCellMar>
            <w:top w:w="0" w:type="dxa"/>
            <w:left w:w="108" w:type="dxa"/>
            <w:bottom w:w="0" w:type="dxa"/>
            <w:right w:w="108" w:type="dxa"/>
          </w:tblCellMar>
        </w:tblPrEx>
        <w:trPr>
          <w:trHeight w:val="278"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3</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是否退还投标文件</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w:t>
            </w:r>
          </w:p>
        </w:tc>
      </w:tr>
      <w:tr>
        <w:tblPrEx>
          <w:tblCellMar>
            <w:top w:w="0" w:type="dxa"/>
            <w:left w:w="108" w:type="dxa"/>
            <w:bottom w:w="0" w:type="dxa"/>
            <w:right w:w="108" w:type="dxa"/>
          </w:tblCellMar>
        </w:tblPrEx>
        <w:trPr>
          <w:trHeight w:val="9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4</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开标时间和地点</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开标时间：同投标截止时间</w:t>
            </w:r>
          </w:p>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开标地点：平顶山市公共资源交易中心（平顶山市行政综合办公楼7楼）</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平顶山市公共资源交易中心全面实行在线“不见面”开标，投标人远程在线解密投标文件，不再到开标现场，投标人开标前应仔细阅读招标文件中《“不见面”开标注意事项及操作流程》。</w:t>
            </w:r>
          </w:p>
        </w:tc>
      </w:tr>
      <w:tr>
        <w:tblPrEx>
          <w:tblCellMar>
            <w:top w:w="0" w:type="dxa"/>
            <w:left w:w="108" w:type="dxa"/>
            <w:bottom w:w="0" w:type="dxa"/>
            <w:right w:w="108" w:type="dxa"/>
          </w:tblCellMar>
        </w:tblPrEx>
        <w:trPr>
          <w:trHeight w:val="58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5</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开标程序</w:t>
            </w:r>
          </w:p>
        </w:tc>
        <w:tc>
          <w:tcPr>
            <w:tcW w:w="7015" w:type="dxa"/>
            <w:tcBorders>
              <w:top w:val="single" w:color="000000" w:sz="4" w:space="0"/>
              <w:left w:val="nil"/>
              <w:bottom w:val="single" w:color="000000" w:sz="4" w:space="0"/>
              <w:right w:val="single" w:color="000000" w:sz="4" w:space="0"/>
            </w:tcBorders>
            <w:noWrap w:val="0"/>
            <w:vAlign w:val="center"/>
          </w:tcPr>
          <w:p>
            <w:pPr>
              <w:pStyle w:val="43"/>
              <w:adjustRightInd w:val="0"/>
              <w:spacing w:before="73" w:beforeAutospacing="0" w:after="0" w:afterAutospacing="0" w:line="360" w:lineRule="auto"/>
              <w:ind w:right="-2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按平顶山市公共资源交易中心交易系统公布的顺序进行开标。</w:t>
            </w:r>
          </w:p>
        </w:tc>
      </w:tr>
      <w:tr>
        <w:tblPrEx>
          <w:tblCellMar>
            <w:top w:w="0" w:type="dxa"/>
            <w:left w:w="108" w:type="dxa"/>
            <w:bottom w:w="0" w:type="dxa"/>
            <w:right w:w="108" w:type="dxa"/>
          </w:tblCellMar>
        </w:tblPrEx>
        <w:trPr>
          <w:trHeight w:val="942"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6</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评标委员会的组建</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评标委员会构成：</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人单数，其中经济、技术类专家人数不得少于评标委员会总人数的2/3（本项目委派业主代表</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名）。</w:t>
            </w:r>
            <w:r>
              <w:rPr>
                <w:rFonts w:hint="eastAsia" w:asciiTheme="minorEastAsia" w:hAnsiTheme="minorEastAsia" w:eastAsiaTheme="minorEastAsia" w:cstheme="minorEastAsia"/>
                <w:color w:val="auto"/>
                <w:sz w:val="21"/>
                <w:szCs w:val="21"/>
                <w:highlight w:val="none"/>
                <w:lang w:eastAsia="zh-CN"/>
              </w:rPr>
              <w:t>工程造价专家占技术经济专家组成人员应不少于三分之一。</w:t>
            </w:r>
          </w:p>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评标专家确定方式：从相关评标专家库中随机抽取。</w:t>
            </w:r>
          </w:p>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上述规定为一组评标专家组成方式，根据项目标段数量和评标工作量，可由多组专家完成评审，但一个标段只能由一组专家评审。</w:t>
            </w:r>
          </w:p>
        </w:tc>
      </w:tr>
      <w:tr>
        <w:tblPrEx>
          <w:tblCellMar>
            <w:top w:w="0" w:type="dxa"/>
            <w:left w:w="108" w:type="dxa"/>
            <w:bottom w:w="0" w:type="dxa"/>
            <w:right w:w="108" w:type="dxa"/>
          </w:tblCellMar>
        </w:tblPrEx>
        <w:trPr>
          <w:trHeight w:val="548"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7</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中标人确定</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否，推荐的中标候选投标人数：</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名。</w:t>
            </w:r>
          </w:p>
        </w:tc>
      </w:tr>
      <w:tr>
        <w:tblPrEx>
          <w:tblCellMar>
            <w:top w:w="0" w:type="dxa"/>
            <w:left w:w="108" w:type="dxa"/>
            <w:bottom w:w="0" w:type="dxa"/>
            <w:right w:w="108" w:type="dxa"/>
          </w:tblCellMar>
        </w:tblPrEx>
        <w:trPr>
          <w:trHeight w:val="125"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w:t>
            </w:r>
          </w:p>
        </w:tc>
        <w:tc>
          <w:tcPr>
            <w:tcW w:w="1929"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履约担保</w:t>
            </w:r>
          </w:p>
        </w:tc>
        <w:tc>
          <w:tcPr>
            <w:tcW w:w="7015" w:type="dxa"/>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lang w:val="en-US" w:eastAsia="zh-CN"/>
              </w:rPr>
            </w:pPr>
            <w:r>
              <w:rPr>
                <w:rFonts w:hint="eastAsia" w:cs="宋体" w:eastAsiaTheme="minorEastAsia"/>
                <w:color w:val="auto"/>
                <w:szCs w:val="21"/>
                <w:highlight w:val="none"/>
                <w:lang w:eastAsia="zh-CN" w:bidi="ar-SA"/>
              </w:rPr>
              <w:t>无</w:t>
            </w:r>
          </w:p>
        </w:tc>
      </w:tr>
      <w:tr>
        <w:tblPrEx>
          <w:tblCellMar>
            <w:top w:w="0" w:type="dxa"/>
            <w:left w:w="108" w:type="dxa"/>
            <w:bottom w:w="0" w:type="dxa"/>
            <w:right w:w="108" w:type="dxa"/>
          </w:tblCellMar>
        </w:tblPrEx>
        <w:trPr>
          <w:trHeight w:val="90"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8944" w:type="dxa"/>
            <w:gridSpan w:val="2"/>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需要补充的其他内容</w:t>
            </w:r>
          </w:p>
        </w:tc>
      </w:tr>
      <w:tr>
        <w:tblPrEx>
          <w:tblCellMar>
            <w:top w:w="0" w:type="dxa"/>
            <w:left w:w="108" w:type="dxa"/>
            <w:bottom w:w="0" w:type="dxa"/>
            <w:right w:w="108" w:type="dxa"/>
          </w:tblCellMar>
        </w:tblPrEx>
        <w:trPr>
          <w:trHeight w:val="134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6.1</w:t>
            </w:r>
          </w:p>
        </w:tc>
        <w:tc>
          <w:tcPr>
            <w:tcW w:w="1929" w:type="dxa"/>
            <w:tcBorders>
              <w:top w:val="single" w:color="000000" w:sz="4" w:space="0"/>
              <w:left w:val="nil"/>
              <w:bottom w:val="single" w:color="000000" w:sz="4" w:space="0"/>
              <w:right w:val="single" w:color="000000" w:sz="4" w:space="0"/>
            </w:tcBorders>
            <w:noWrap w:val="0"/>
            <w:vAlign w:val="center"/>
          </w:tcPr>
          <w:p>
            <w:pPr>
              <w:spacing w:line="312" w:lineRule="auto"/>
              <w:rPr>
                <w:rFonts w:hint="eastAsia" w:asciiTheme="minorEastAsia" w:hAnsiTheme="minorEastAsia" w:eastAsiaTheme="minorEastAsia" w:cstheme="minorEastAsia"/>
                <w:color w:val="000000"/>
                <w:kern w:val="2"/>
                <w:sz w:val="21"/>
                <w:szCs w:val="24"/>
                <w:highlight w:val="none"/>
                <w:lang w:val="en-US" w:eastAsia="zh-CN" w:bidi="ar-SA"/>
              </w:rPr>
            </w:pPr>
            <w:r>
              <w:rPr>
                <w:rFonts w:hint="eastAsia" w:asciiTheme="minorEastAsia" w:hAnsiTheme="minorEastAsia" w:eastAsiaTheme="minorEastAsia" w:cstheme="minorEastAsia"/>
                <w:color w:val="000000"/>
                <w:highlight w:val="none"/>
              </w:rPr>
              <w:t>类似项目</w:t>
            </w:r>
          </w:p>
        </w:tc>
        <w:tc>
          <w:tcPr>
            <w:tcW w:w="7015" w:type="dxa"/>
            <w:tcBorders>
              <w:top w:val="single" w:color="000000" w:sz="4" w:space="0"/>
              <w:left w:val="nil"/>
              <w:bottom w:val="single" w:color="000000" w:sz="4" w:space="0"/>
              <w:right w:val="single" w:color="000000" w:sz="4" w:space="0"/>
            </w:tcBorders>
            <w:noWrap w:val="0"/>
            <w:vAlign w:val="center"/>
          </w:tcPr>
          <w:p>
            <w:pPr>
              <w:tabs>
                <w:tab w:val="left" w:pos="0"/>
              </w:tabs>
              <w:snapToGrid w:val="0"/>
              <w:spacing w:line="300" w:lineRule="exact"/>
              <w:rPr>
                <w:rFonts w:hint="eastAsia" w:asciiTheme="minorEastAsia" w:hAnsiTheme="minorEastAsia" w:eastAsiaTheme="minorEastAsia" w:cstheme="minorEastAsia"/>
                <w:color w:val="000000"/>
                <w:kern w:val="2"/>
                <w:sz w:val="21"/>
                <w:szCs w:val="24"/>
                <w:highlight w:val="none"/>
                <w:lang w:val="en-US" w:eastAsia="zh-CN" w:bidi="ar-SA"/>
              </w:rPr>
            </w:pPr>
            <w:r>
              <w:rPr>
                <w:rFonts w:hint="eastAsia" w:asciiTheme="minorEastAsia" w:hAnsiTheme="minorEastAsia" w:eastAsiaTheme="minorEastAsia" w:cstheme="minorEastAsia"/>
                <w:color w:val="000000"/>
                <w:highlight w:val="none"/>
              </w:rPr>
              <w:t>201</w:t>
            </w:r>
            <w:r>
              <w:rPr>
                <w:rFonts w:hint="eastAsia" w:asciiTheme="minorEastAsia" w:hAnsiTheme="minorEastAsia" w:eastAsiaTheme="minorEastAsia" w:cstheme="minorEastAsia"/>
                <w:color w:val="000000"/>
                <w:highlight w:val="none"/>
                <w:lang w:val="en-US" w:eastAsia="zh-CN"/>
              </w:rPr>
              <w:t>9</w:t>
            </w:r>
            <w:r>
              <w:rPr>
                <w:rFonts w:hint="eastAsia" w:asciiTheme="minorEastAsia" w:hAnsiTheme="minorEastAsia" w:eastAsiaTheme="minorEastAsia" w:cstheme="minorEastAsia"/>
                <w:color w:val="000000"/>
                <w:highlight w:val="none"/>
              </w:rPr>
              <w:t>年1月1日以来</w:t>
            </w:r>
          </w:p>
        </w:tc>
      </w:tr>
      <w:tr>
        <w:tblPrEx>
          <w:tblCellMar>
            <w:top w:w="0" w:type="dxa"/>
            <w:left w:w="108" w:type="dxa"/>
            <w:bottom w:w="0" w:type="dxa"/>
            <w:right w:w="108" w:type="dxa"/>
          </w:tblCellMar>
        </w:tblPrEx>
        <w:trPr>
          <w:trHeight w:val="134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default" w:asciiTheme="minorEastAsia" w:hAnsiTheme="minorEastAsia" w:eastAsiaTheme="minorEastAsia" w:cstheme="minorEastAsia"/>
                <w:color w:val="F79646"/>
                <w:sz w:val="21"/>
                <w:szCs w:val="21"/>
                <w:highlight w:val="none"/>
                <w:lang w:val="en-US" w:eastAsia="zh-CN"/>
              </w:rPr>
            </w:pPr>
            <w:r>
              <w:rPr>
                <w:rFonts w:hint="eastAsia" w:asciiTheme="minorEastAsia" w:hAnsiTheme="minorEastAsia" w:eastAsiaTheme="minorEastAsia" w:cstheme="minorEastAsia"/>
                <w:color w:val="000000"/>
                <w:kern w:val="2"/>
                <w:sz w:val="21"/>
                <w:szCs w:val="24"/>
                <w:highlight w:val="none"/>
                <w:lang w:val="en-US" w:eastAsia="zh-CN" w:bidi="ar-SA"/>
              </w:rPr>
              <w:t>6.2</w:t>
            </w:r>
          </w:p>
        </w:tc>
        <w:tc>
          <w:tcPr>
            <w:tcW w:w="1929" w:type="dxa"/>
            <w:tcBorders>
              <w:top w:val="single" w:color="000000" w:sz="4" w:space="0"/>
              <w:left w:val="nil"/>
              <w:bottom w:val="single" w:color="000000" w:sz="4" w:space="0"/>
              <w:right w:val="single" w:color="000000" w:sz="4" w:space="0"/>
            </w:tcBorders>
            <w:noWrap w:val="0"/>
            <w:vAlign w:val="center"/>
          </w:tcPr>
          <w:p>
            <w:pPr>
              <w:spacing w:line="312" w:lineRule="auto"/>
              <w:rPr>
                <w:rFonts w:hint="eastAsia" w:asciiTheme="minorEastAsia" w:hAnsiTheme="minorEastAsia" w:eastAsiaTheme="minorEastAsia" w:cstheme="minorEastAsia"/>
                <w:color w:val="000000"/>
                <w:kern w:val="2"/>
                <w:sz w:val="21"/>
                <w:szCs w:val="24"/>
                <w:highlight w:val="none"/>
                <w:lang w:val="en-US" w:eastAsia="zh-CN" w:bidi="ar-SA"/>
              </w:rPr>
            </w:pPr>
            <w:r>
              <w:rPr>
                <w:rFonts w:hint="eastAsia" w:asciiTheme="minorEastAsia" w:hAnsiTheme="minorEastAsia" w:eastAsiaTheme="minorEastAsia" w:cstheme="minorEastAsia"/>
                <w:color w:val="000000"/>
                <w:highlight w:val="none"/>
              </w:rPr>
              <w:t>不良行为记录</w:t>
            </w:r>
          </w:p>
        </w:tc>
        <w:tc>
          <w:tcPr>
            <w:tcW w:w="7015" w:type="dxa"/>
            <w:tcBorders>
              <w:top w:val="single" w:color="000000" w:sz="4" w:space="0"/>
              <w:left w:val="nil"/>
              <w:bottom w:val="single" w:color="000000" w:sz="4" w:space="0"/>
              <w:right w:val="single" w:color="000000" w:sz="4" w:space="0"/>
            </w:tcBorders>
            <w:noWrap w:val="0"/>
            <w:vAlign w:val="center"/>
          </w:tcPr>
          <w:p>
            <w:pPr>
              <w:spacing w:line="312" w:lineRule="auto"/>
              <w:rPr>
                <w:rFonts w:hint="eastAsia" w:asciiTheme="minorEastAsia" w:hAnsiTheme="minorEastAsia" w:eastAsiaTheme="minorEastAsia" w:cstheme="minorEastAsia"/>
                <w:color w:val="000000"/>
                <w:kern w:val="2"/>
                <w:sz w:val="21"/>
                <w:szCs w:val="24"/>
                <w:highlight w:val="none"/>
                <w:lang w:val="en-US" w:eastAsia="zh-CN" w:bidi="ar-SA"/>
              </w:rPr>
            </w:pPr>
            <w:r>
              <w:rPr>
                <w:rFonts w:hint="eastAsia" w:asciiTheme="minorEastAsia" w:hAnsiTheme="minorEastAsia" w:eastAsiaTheme="minorEastAsia" w:cstheme="minorEastAsia"/>
                <w:color w:val="000000"/>
                <w:szCs w:val="21"/>
                <w:highlight w:val="none"/>
              </w:rPr>
              <w:t>列入“信用中国”网站的“失信被执行人”和“重大税收违法失信主体”，“ 中国政府采购网” 网站的“政府采购严重违法失信行为名单”。</w:t>
            </w:r>
          </w:p>
        </w:tc>
      </w:tr>
      <w:tr>
        <w:tblPrEx>
          <w:tblCellMar>
            <w:top w:w="0" w:type="dxa"/>
            <w:left w:w="108" w:type="dxa"/>
            <w:bottom w:w="0" w:type="dxa"/>
            <w:right w:w="108" w:type="dxa"/>
          </w:tblCellMar>
        </w:tblPrEx>
        <w:trPr>
          <w:trHeight w:val="1341" w:hRule="atLeast"/>
        </w:trPr>
        <w:tc>
          <w:tcPr>
            <w:tcW w:w="987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Theme="minorEastAsia" w:hAnsiTheme="minorEastAsia" w:eastAsiaTheme="minorEastAsia" w:cstheme="minorEastAsia"/>
                <w:color w:val="F79646"/>
                <w:highlight w:val="none"/>
              </w:rPr>
            </w:pPr>
            <w:r>
              <w:rPr>
                <w:rFonts w:hint="eastAsia" w:asciiTheme="minorEastAsia" w:hAnsiTheme="minorEastAsia" w:eastAsiaTheme="minorEastAsia" w:cstheme="minorEastAsia"/>
                <w:b/>
                <w:color w:val="000000"/>
                <w:szCs w:val="21"/>
                <w:highlight w:val="none"/>
              </w:rPr>
              <w:t>招标实质性条款</w:t>
            </w:r>
          </w:p>
        </w:tc>
      </w:tr>
      <w:tr>
        <w:tblPrEx>
          <w:tblCellMar>
            <w:top w:w="0" w:type="dxa"/>
            <w:left w:w="108" w:type="dxa"/>
            <w:bottom w:w="0" w:type="dxa"/>
            <w:right w:w="108" w:type="dxa"/>
          </w:tblCellMar>
        </w:tblPrEx>
        <w:trPr>
          <w:trHeight w:val="134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F79646"/>
                <w:sz w:val="21"/>
                <w:szCs w:val="21"/>
                <w:highlight w:val="none"/>
              </w:rPr>
            </w:pPr>
          </w:p>
        </w:tc>
        <w:tc>
          <w:tcPr>
            <w:tcW w:w="8944" w:type="dxa"/>
            <w:gridSpan w:val="2"/>
            <w:tcBorders>
              <w:top w:val="single" w:color="000000" w:sz="4" w:space="0"/>
              <w:left w:val="nil"/>
              <w:bottom w:val="single" w:color="000000" w:sz="4" w:space="0"/>
              <w:right w:val="single" w:color="000000" w:sz="4" w:space="0"/>
            </w:tcBorders>
            <w:noWrap w:val="0"/>
            <w:vAlign w:val="center"/>
          </w:tcPr>
          <w:p>
            <w:pPr>
              <w:shd w:val="clear" w:color="auto" w:fill="FFFFFF"/>
              <w:spacing w:line="360" w:lineRule="auto"/>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一、招标实质性要求</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1、中标人按照合同约定履行义务，完成中标项目的施工监理，不得将中标项目转包给他人。</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2、中标人派出的总监理工程师及监理部其他人员在本工程的施工过程中常驻现场，未经招标人同意不得更换。如擅自更换总监理工程师，招标人有权解除合同，中标人应赔偿由此造成的一切损失。监理过程中，如招标人发现总监理工程师和各专业监理工程师不能胜任本职工作，招标人有权要求更换。项目总监每周在现场不少于5个工作日，有事请假，否则每缺岗一人次中标人向招标人支付1000元的违约金；其他现场管理人员必须到施工现场（每月不少于25天），否则每缺岗一人次中标人向招标人支付500元的违约金。</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3、因中标人过错导致工程发生质量、安全事故或受到责令停工整顿，每次按监理合同价的5%支付违约金；在工程造价签证或审核中，监理人有重大失误或弄虚作假的或与承包方串通一起损害招标人利益，应承担监理过失责任并赔偿由此给招标人造成的损失。</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4、中标人派驻本工程的监理项目机构人员配备应满足如下要求：</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4.1总监理工程师应具有</w:t>
            </w:r>
            <w:r>
              <w:rPr>
                <w:rFonts w:hint="eastAsia" w:asciiTheme="minorEastAsia" w:hAnsiTheme="minorEastAsia" w:eastAsiaTheme="minorEastAsia" w:cstheme="minorEastAsia"/>
                <w:color w:val="000000"/>
                <w:highlight w:val="none"/>
                <w:lang w:val="en-US" w:eastAsia="zh-CN"/>
              </w:rPr>
              <w:t>国家</w:t>
            </w:r>
            <w:r>
              <w:rPr>
                <w:rFonts w:hint="eastAsia" w:asciiTheme="minorEastAsia" w:hAnsiTheme="minorEastAsia" w:eastAsiaTheme="minorEastAsia" w:cstheme="minorEastAsia"/>
                <w:color w:val="000000"/>
                <w:highlight w:val="none"/>
              </w:rPr>
              <w:t>注册监理工程师资格证；专业监理工程师须具有岗位资格证书。</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4.2中标人派驻本工程的监理项目机构人员及主要检测设备仪器到位情况，以不影响工程监理正常的需要为准，但须列出书面计划文件。</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5、监理深度</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质量控制：按施工合同要求的工程质量标准，达到100％合格工程；负责与本项目有直接关系的市政供水、供电工程的质量控制；</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投资控制：协助业主做好工程造价的控制；对设计、施工工艺、材料等作必要的技术经济比较、分析、论证，挖掘节约投资、提高项目经济效益的潜力；</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进度控制：根据施工合同及业主要求编制工程总进度计划，并在实施过程中严格控制；</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安全控制：根据施工合同及国家相关规范要求对工程施工过程进行全面严格的安全控制；</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合同及信息管理：协助业主对施工合同及相关信息进行管理；</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协调关系：参与协调工程建设的各方面的关系。</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安全、文明生产监督管理：根据有关规定，对施工全过程进行安全、文明生产监督与管理，达到安全文明标准化工地标准。</w:t>
            </w:r>
          </w:p>
          <w:p>
            <w:pPr>
              <w:shd w:val="clear" w:color="auto" w:fill="FFFFFF"/>
              <w:spacing w:line="360" w:lineRule="auto"/>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6、监理过程中，中标人如不按合同、投标文件中承诺和招标文件规定的条件履行，招标人有权按违约处理。</w:t>
            </w:r>
          </w:p>
          <w:p>
            <w:pPr>
              <w:shd w:val="clear" w:color="auto" w:fill="FFFFFF"/>
              <w:spacing w:line="360" w:lineRule="auto"/>
              <w:rPr>
                <w:rFonts w:hint="eastAsia"/>
                <w:highlight w:val="none"/>
              </w:rPr>
            </w:pPr>
            <w:r>
              <w:rPr>
                <w:rFonts w:hint="eastAsia" w:asciiTheme="minorEastAsia" w:hAnsiTheme="minorEastAsia" w:eastAsiaTheme="minorEastAsia" w:cstheme="minorEastAsia"/>
                <w:b/>
                <w:color w:val="000000"/>
                <w:highlight w:val="none"/>
              </w:rPr>
              <w:t>二、合同价款的支付（无息）</w:t>
            </w:r>
            <w:r>
              <w:rPr>
                <w:rFonts w:hint="eastAsia" w:asciiTheme="minorEastAsia" w:hAnsiTheme="minorEastAsia" w:eastAsiaTheme="minorEastAsia" w:cstheme="minorEastAsia"/>
                <w:b/>
                <w:color w:val="000000"/>
                <w:highlight w:val="none"/>
                <w:lang w:eastAsia="zh-CN"/>
              </w:rPr>
              <w:t>：</w:t>
            </w:r>
            <w:r>
              <w:rPr>
                <w:rFonts w:hint="eastAsia" w:asciiTheme="minorEastAsia" w:hAnsiTheme="minorEastAsia" w:eastAsiaTheme="minorEastAsia" w:cstheme="minorEastAsia"/>
                <w:color w:val="000000"/>
                <w:highlight w:val="none"/>
                <w:lang w:val="en-US" w:eastAsia="zh-CN"/>
              </w:rPr>
              <w:t>按公司条款5.3约定</w:t>
            </w:r>
            <w:r>
              <w:rPr>
                <w:rFonts w:hint="eastAsia" w:asciiTheme="minorEastAsia" w:hAnsiTheme="minorEastAsia" w:eastAsiaTheme="minorEastAsia" w:cstheme="minorEastAsia"/>
                <w:color w:val="000000"/>
                <w:highlight w:val="none"/>
              </w:rPr>
              <w:t>。</w:t>
            </w:r>
          </w:p>
          <w:p>
            <w:pPr>
              <w:shd w:val="clear" w:color="auto" w:fill="FFFFFF"/>
              <w:spacing w:line="360" w:lineRule="auto"/>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三、本工程监理服务费为固定合同价，该价格不随实施阶段工程量的变更、监理时间的延长或缩短或总投资的变更而增减。</w:t>
            </w:r>
          </w:p>
          <w:p>
            <w:pPr>
              <w:widowControl/>
              <w:spacing w:line="360" w:lineRule="auto"/>
              <w:jc w:val="left"/>
              <w:rPr>
                <w:rFonts w:hint="eastAsia" w:asciiTheme="minorEastAsia" w:hAnsiTheme="minorEastAsia" w:eastAsiaTheme="minorEastAsia" w:cstheme="minorEastAsia"/>
                <w:color w:val="F79646"/>
                <w:highlight w:val="none"/>
              </w:rPr>
            </w:pPr>
            <w:r>
              <w:rPr>
                <w:rFonts w:hint="eastAsia" w:asciiTheme="minorEastAsia" w:hAnsiTheme="minorEastAsia" w:eastAsiaTheme="minorEastAsia" w:cstheme="minorEastAsia"/>
                <w:color w:val="000000"/>
                <w:highlight w:val="none"/>
              </w:rPr>
              <w:t>投标人应对上述所有内容逐条作出响应。未作出承诺或承诺内容不完整或不符合上述要求，按无效标处理。</w:t>
            </w:r>
          </w:p>
        </w:tc>
      </w:tr>
      <w:tr>
        <w:tblPrEx>
          <w:tblCellMar>
            <w:top w:w="0" w:type="dxa"/>
            <w:left w:w="108" w:type="dxa"/>
            <w:bottom w:w="0" w:type="dxa"/>
            <w:right w:w="108" w:type="dxa"/>
          </w:tblCellMar>
        </w:tblPrEx>
        <w:trPr>
          <w:trHeight w:val="881"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F79646"/>
                <w:sz w:val="21"/>
                <w:szCs w:val="21"/>
                <w:highlight w:val="none"/>
              </w:rPr>
            </w:pPr>
          </w:p>
        </w:tc>
        <w:tc>
          <w:tcPr>
            <w:tcW w:w="1929" w:type="dxa"/>
            <w:tcBorders>
              <w:top w:val="single" w:color="000000" w:sz="4" w:space="0"/>
              <w:left w:val="nil"/>
              <w:bottom w:val="single" w:color="000000" w:sz="4" w:space="0"/>
              <w:right w:val="single" w:color="000000" w:sz="4" w:space="0"/>
            </w:tcBorders>
            <w:noWrap w:val="0"/>
            <w:vAlign w:val="center"/>
          </w:tcPr>
          <w:p>
            <w:pPr>
              <w:shd w:val="clear" w:color="auto" w:fill="FFFFFF"/>
              <w:spacing w:line="360" w:lineRule="auto"/>
              <w:rPr>
                <w:rFonts w:hint="eastAsia" w:asciiTheme="minorEastAsia" w:hAnsiTheme="minorEastAsia" w:eastAsiaTheme="minorEastAsia" w:cstheme="minorEastAsia"/>
                <w:b/>
                <w:color w:val="F79646"/>
                <w:kern w:val="2"/>
                <w:sz w:val="21"/>
                <w:szCs w:val="24"/>
                <w:highlight w:val="none"/>
                <w:lang w:val="en-US" w:eastAsia="zh-CN" w:bidi="ar-SA"/>
              </w:rPr>
            </w:pPr>
            <w:r>
              <w:rPr>
                <w:rFonts w:hint="eastAsia" w:asciiTheme="minorEastAsia" w:hAnsiTheme="minorEastAsia" w:eastAsiaTheme="minorEastAsia" w:cstheme="minorEastAsia"/>
                <w:b/>
                <w:color w:val="000000"/>
                <w:highlight w:val="none"/>
              </w:rPr>
              <w:t>其他</w:t>
            </w:r>
          </w:p>
        </w:tc>
        <w:tc>
          <w:tcPr>
            <w:tcW w:w="7015" w:type="dxa"/>
            <w:tcBorders>
              <w:top w:val="single" w:color="000000" w:sz="4" w:space="0"/>
              <w:left w:val="nil"/>
              <w:bottom w:val="single" w:color="000000" w:sz="4" w:space="0"/>
              <w:right w:val="single" w:color="000000" w:sz="4" w:space="0"/>
            </w:tcBorders>
            <w:noWrap w:val="0"/>
            <w:vAlign w:val="center"/>
          </w:tcPr>
          <w:p>
            <w:pPr>
              <w:widowControl/>
              <w:spacing w:line="360" w:lineRule="auto"/>
              <w:jc w:val="left"/>
              <w:rPr>
                <w:rFonts w:hint="eastAsia" w:asciiTheme="minorEastAsia" w:hAnsiTheme="minorEastAsia" w:eastAsiaTheme="minorEastAsia" w:cstheme="minorEastAsia"/>
                <w:color w:val="F79646"/>
                <w:highlight w:val="none"/>
              </w:rPr>
            </w:pPr>
            <w:r>
              <w:rPr>
                <w:rFonts w:hint="eastAsia" w:asciiTheme="minorEastAsia" w:hAnsiTheme="minorEastAsia" w:eastAsiaTheme="minorEastAsia" w:cstheme="minorEastAsia"/>
                <w:color w:val="auto"/>
                <w:highlight w:val="none"/>
              </w:rPr>
              <w:t>本项目招标代理费</w:t>
            </w:r>
            <w:r>
              <w:rPr>
                <w:rFonts w:hint="eastAsia" w:asciiTheme="minorEastAsia" w:hAnsiTheme="minorEastAsia" w:eastAsiaTheme="minorEastAsia" w:cstheme="minorEastAsia"/>
                <w:color w:val="auto"/>
                <w:highlight w:val="none"/>
                <w:lang w:val="en-US" w:eastAsia="zh-CN"/>
              </w:rPr>
              <w:t>参照</w:t>
            </w:r>
            <w:r>
              <w:rPr>
                <w:rFonts w:hint="eastAsia" w:asciiTheme="minorEastAsia" w:hAnsiTheme="minorEastAsia" w:eastAsiaTheme="minorEastAsia" w:cstheme="minorEastAsia"/>
                <w:color w:val="auto"/>
                <w:highlight w:val="none"/>
              </w:rPr>
              <w:t>照发改价格【2015】299号文件</w:t>
            </w:r>
            <w:r>
              <w:rPr>
                <w:rFonts w:hint="eastAsia" w:asciiTheme="minorEastAsia" w:hAnsiTheme="minorEastAsia" w:eastAsiaTheme="minorEastAsia" w:cstheme="minorEastAsia"/>
                <w:color w:val="auto"/>
                <w:highlight w:val="none"/>
                <w:lang w:val="en-US" w:eastAsia="zh-CN"/>
              </w:rPr>
              <w:t>及</w:t>
            </w:r>
            <w:r>
              <w:rPr>
                <w:rFonts w:hint="eastAsia" w:asciiTheme="minorEastAsia" w:hAnsiTheme="minorEastAsia" w:eastAsiaTheme="minorEastAsia" w:cstheme="minorEastAsia"/>
                <w:color w:val="auto"/>
                <w:highlight w:val="none"/>
              </w:rPr>
              <w:t>发改办价[2011]534号文规定，由中标人</w:t>
            </w:r>
            <w:r>
              <w:rPr>
                <w:rFonts w:hint="eastAsia" w:asciiTheme="minorEastAsia" w:hAnsiTheme="minorEastAsia" w:eastAsiaTheme="minorEastAsia" w:cstheme="minorEastAsia"/>
                <w:color w:val="auto"/>
                <w:highlight w:val="none"/>
                <w:lang w:val="en-US" w:eastAsia="zh-CN"/>
              </w:rPr>
              <w:t>向</w:t>
            </w:r>
            <w:r>
              <w:rPr>
                <w:rFonts w:hint="eastAsia" w:asciiTheme="minorEastAsia" w:hAnsiTheme="minorEastAsia" w:eastAsiaTheme="minorEastAsia" w:cstheme="minorEastAsia"/>
                <w:color w:val="auto"/>
                <w:highlight w:val="none"/>
              </w:rPr>
              <w:t>招标代理机构</w:t>
            </w:r>
            <w:r>
              <w:rPr>
                <w:rFonts w:hint="eastAsia" w:asciiTheme="minorEastAsia" w:hAnsiTheme="minorEastAsia" w:eastAsiaTheme="minorEastAsia" w:cstheme="minorEastAsia"/>
                <w:color w:val="auto"/>
                <w:highlight w:val="none"/>
                <w:lang w:eastAsia="zh-CN"/>
              </w:rPr>
              <w:t>支付</w:t>
            </w:r>
            <w:r>
              <w:rPr>
                <w:rFonts w:hint="eastAsia" w:asciiTheme="minorEastAsia" w:hAnsiTheme="minorEastAsia" w:eastAsiaTheme="minorEastAsia" w:cstheme="minorEastAsia"/>
                <w:color w:val="auto"/>
                <w:highlight w:val="none"/>
                <w:lang w:val="en-US" w:eastAsia="zh-CN"/>
              </w:rPr>
              <w:t>费用</w:t>
            </w:r>
            <w:r>
              <w:rPr>
                <w:rFonts w:hint="eastAsia" w:asciiTheme="minorEastAsia" w:hAnsiTheme="minorEastAsia" w:eastAsiaTheme="minorEastAsia" w:cstheme="minorEastAsia"/>
                <w:color w:val="auto"/>
                <w:highlight w:val="none"/>
              </w:rPr>
              <w:t>。</w:t>
            </w:r>
          </w:p>
        </w:tc>
      </w:tr>
      <w:tr>
        <w:tblPrEx>
          <w:tblCellMar>
            <w:top w:w="0" w:type="dxa"/>
            <w:left w:w="108" w:type="dxa"/>
            <w:bottom w:w="0" w:type="dxa"/>
            <w:right w:w="108" w:type="dxa"/>
          </w:tblCellMar>
        </w:tblPrEx>
        <w:trPr>
          <w:trHeight w:val="706" w:hRule="atLeast"/>
        </w:trPr>
        <w:tc>
          <w:tcPr>
            <w:tcW w:w="935" w:type="dxa"/>
            <w:tcBorders>
              <w:top w:val="single" w:color="000000" w:sz="4" w:space="0"/>
              <w:left w:val="single" w:color="000000" w:sz="4" w:space="0"/>
              <w:bottom w:val="single" w:color="000000" w:sz="4" w:space="0"/>
              <w:right w:val="single" w:color="000000" w:sz="4" w:space="0"/>
            </w:tcBorders>
            <w:noWrap w:val="0"/>
            <w:vAlign w:val="center"/>
          </w:tcPr>
          <w:p>
            <w:pPr>
              <w:pStyle w:val="43"/>
              <w:spacing w:before="0" w:beforeAutospacing="0" w:after="0" w:afterAutospacing="0"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w:t>
            </w:r>
          </w:p>
        </w:tc>
        <w:tc>
          <w:tcPr>
            <w:tcW w:w="8944" w:type="dxa"/>
            <w:gridSpan w:val="2"/>
            <w:tcBorders>
              <w:top w:val="single" w:color="000000" w:sz="4" w:space="0"/>
              <w:left w:val="nil"/>
              <w:bottom w:val="single" w:color="000000" w:sz="4" w:space="0"/>
              <w:right w:val="single" w:color="000000" w:sz="4" w:space="0"/>
            </w:tcBorders>
            <w:noWrap w:val="0"/>
            <w:vAlign w:val="center"/>
          </w:tcPr>
          <w:p>
            <w:pPr>
              <w:pStyle w:val="43"/>
              <w:spacing w:before="0" w:beforeAutospacing="0" w:after="0" w:afterAutospacing="0" w:line="360" w:lineRule="auto"/>
              <w:ind w:firstLine="210" w:firstLine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本表中内容与本招标文件其它处（评标办法除外）要求内容不一致的以本表内容为准。</w:t>
            </w:r>
          </w:p>
        </w:tc>
      </w:tr>
    </w:tbl>
    <w:p>
      <w:pPr>
        <w:rPr>
          <w:rFonts w:hint="eastAsia" w:asciiTheme="minorEastAsia" w:hAnsiTheme="minorEastAsia" w:eastAsiaTheme="minorEastAsia" w:cstheme="minorEastAsia"/>
          <w:color w:val="auto"/>
          <w:highlight w:val="none"/>
        </w:rPr>
      </w:pPr>
    </w:p>
    <w:p>
      <w:pPr>
        <w:spacing w:line="480" w:lineRule="exact"/>
        <w:rPr>
          <w:rFonts w:hint="eastAsia" w:asciiTheme="minorEastAsia" w:hAnsiTheme="minorEastAsia" w:eastAsiaTheme="minorEastAsia" w:cstheme="minorEastAsia"/>
          <w:b/>
          <w:bCs/>
          <w:color w:val="auto"/>
          <w:highlight w:val="none"/>
        </w:rPr>
      </w:pPr>
      <w:bookmarkStart w:id="7" w:name="_Toc397510364"/>
      <w:r>
        <w:rPr>
          <w:rFonts w:hint="eastAsia" w:asciiTheme="minorEastAsia" w:hAnsiTheme="minorEastAsia" w:eastAsiaTheme="minorEastAsia" w:cstheme="minorEastAsia"/>
          <w:b/>
          <w:bCs/>
          <w:color w:val="auto"/>
          <w:highlight w:val="none"/>
        </w:rPr>
        <w:t>2.1 总则</w:t>
      </w:r>
      <w:bookmarkEnd w:id="7"/>
    </w:p>
    <w:p>
      <w:pPr>
        <w:spacing w:line="480" w:lineRule="exact"/>
        <w:outlineLvl w:val="2"/>
        <w:rPr>
          <w:rFonts w:hint="eastAsia" w:asciiTheme="minorEastAsia" w:hAnsiTheme="minorEastAsia" w:eastAsiaTheme="minorEastAsia" w:cstheme="minorEastAsia"/>
          <w:b/>
          <w:bCs/>
          <w:color w:val="auto"/>
          <w:highlight w:val="none"/>
        </w:rPr>
      </w:pPr>
      <w:bookmarkStart w:id="8" w:name="_Toc397510365"/>
      <w:r>
        <w:rPr>
          <w:rFonts w:hint="eastAsia" w:asciiTheme="minorEastAsia" w:hAnsiTheme="minorEastAsia" w:eastAsiaTheme="minorEastAsia" w:cstheme="minorEastAsia"/>
          <w:b/>
          <w:bCs/>
          <w:color w:val="auto"/>
          <w:highlight w:val="none"/>
        </w:rPr>
        <w:t>2.1.1 概述</w:t>
      </w:r>
      <w:bookmarkEnd w:id="8"/>
    </w:p>
    <w:p>
      <w:pPr>
        <w:spacing w:line="480" w:lineRule="exact"/>
        <w:jc w:val="lef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2.1.1.1项目名称：见投标人须知前附表。</w:t>
      </w:r>
    </w:p>
    <w:p>
      <w:pPr>
        <w:spacing w:line="480" w:lineRule="exac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2.1.1.2招标人：见投标人须知前附表。</w:t>
      </w:r>
    </w:p>
    <w:p>
      <w:pPr>
        <w:spacing w:line="480" w:lineRule="exac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2.1.1.3 招标代理机构：见投标人须知前附表。</w:t>
      </w:r>
    </w:p>
    <w:p>
      <w:pPr>
        <w:spacing w:line="480" w:lineRule="exac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2.1.1.4 工程建设地点：见投标人须知前附表。</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2.1.1.5 资金来源：见投标人须知前附表。</w:t>
      </w:r>
    </w:p>
    <w:p>
      <w:pPr>
        <w:spacing w:line="480" w:lineRule="exac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2.1.1.6 招标范围：见投标人须知前附表。</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2.1.1.7 工期控制目标：见投标人须知前附表。</w:t>
      </w:r>
    </w:p>
    <w:p>
      <w:pPr>
        <w:spacing w:line="480" w:lineRule="exact"/>
        <w:outlineLvl w:val="2"/>
        <w:rPr>
          <w:rFonts w:hint="eastAsia" w:asciiTheme="minorEastAsia" w:hAnsiTheme="minorEastAsia" w:eastAsiaTheme="minorEastAsia" w:cstheme="minorEastAsia"/>
          <w:b/>
          <w:bCs/>
          <w:color w:val="auto"/>
          <w:highlight w:val="none"/>
        </w:rPr>
      </w:pPr>
      <w:bookmarkStart w:id="9" w:name="_Toc170115173"/>
      <w:bookmarkStart w:id="10" w:name="_Toc397510368"/>
      <w:r>
        <w:rPr>
          <w:rFonts w:hint="eastAsia" w:asciiTheme="minorEastAsia" w:hAnsiTheme="minorEastAsia" w:eastAsiaTheme="minorEastAsia" w:cstheme="minorEastAsia"/>
          <w:b/>
          <w:bCs/>
          <w:color w:val="auto"/>
          <w:highlight w:val="none"/>
        </w:rPr>
        <w:t>2.1.2投标人资格要求</w:t>
      </w:r>
    </w:p>
    <w:p>
      <w:pPr>
        <w:spacing w:line="480" w:lineRule="exact"/>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见招标文件第二章“投标人须知前附表”第1.9项。</w:t>
      </w:r>
    </w:p>
    <w:p>
      <w:pPr>
        <w:spacing w:line="480" w:lineRule="exact"/>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2.1.3 投标人不得存在下列情形之一：</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（1）为招标人不具有独立法人资格的附属机构（单位）；</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（2）为本项目前期准备提供设计或咨询服务的；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（3）为本项目的代建人；</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（4）为本项目提供招标代理服务的；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（5）与本项目的代建人或招标代理机构同为一个法定代表人的；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（6）与本项目的代建人或招标代理机构相互控股或参股的；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（7）与本项目的代建人或招标代理机构相互任职或工作的；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（8）被责令停业的；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（9）被暂停或取消投标资格的；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（10）财产被接管或冻结的；</w:t>
      </w:r>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（11）在最近三年内有骗取中标或严重违约或重大工程质量问题的。</w:t>
      </w:r>
    </w:p>
    <w:p>
      <w:pPr>
        <w:spacing w:line="480" w:lineRule="exact"/>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2.1.4 投标规则</w:t>
      </w:r>
      <w:bookmarkEnd w:id="9"/>
      <w:bookmarkEnd w:id="10"/>
    </w:p>
    <w:p>
      <w:pPr>
        <w:spacing w:line="48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2.1.4.1 不允许一个投标人对同一招标工程的同一标段提交两份或两份以上不同的投标文件。</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2.1.4.2 任一投标人或联合体的各成员均不允许以任何方式参加其他投标人或变换联合体的责任方对同一招标工程投标。</w:t>
      </w:r>
    </w:p>
    <w:p>
      <w:pPr>
        <w:spacing w:line="360" w:lineRule="auto"/>
        <w:outlineLvl w:val="2"/>
        <w:rPr>
          <w:rFonts w:hint="eastAsia" w:asciiTheme="minorEastAsia" w:hAnsiTheme="minorEastAsia" w:eastAsiaTheme="minorEastAsia" w:cstheme="minorEastAsia"/>
          <w:b/>
          <w:bCs/>
          <w:color w:val="auto"/>
          <w:highlight w:val="none"/>
        </w:rPr>
      </w:pPr>
      <w:bookmarkStart w:id="11" w:name="_Toc397510369"/>
      <w:bookmarkStart w:id="12" w:name="_Toc170115174"/>
      <w:r>
        <w:rPr>
          <w:rFonts w:hint="eastAsia" w:asciiTheme="minorEastAsia" w:hAnsiTheme="minorEastAsia" w:eastAsiaTheme="minorEastAsia" w:cstheme="minorEastAsia"/>
          <w:b/>
          <w:bCs/>
          <w:color w:val="auto"/>
          <w:highlight w:val="none"/>
        </w:rPr>
        <w:t>2.1.5 投标费用</w:t>
      </w:r>
      <w:bookmarkEnd w:id="11"/>
      <w:bookmarkEnd w:id="12"/>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投标人应承担其为准备或进行投标所发生的一切费用。除招标文件另有规定外，投标文件一律不予退还。</w:t>
      </w:r>
    </w:p>
    <w:p>
      <w:pPr>
        <w:spacing w:line="360" w:lineRule="auto"/>
        <w:outlineLvl w:val="2"/>
        <w:rPr>
          <w:rFonts w:hint="eastAsia" w:asciiTheme="minorEastAsia" w:hAnsiTheme="minorEastAsia" w:eastAsiaTheme="minorEastAsia" w:cstheme="minorEastAsia"/>
          <w:b/>
          <w:bCs/>
          <w:color w:val="auto"/>
          <w:highlight w:val="none"/>
        </w:rPr>
      </w:pPr>
      <w:bookmarkStart w:id="13" w:name="_Toc397510370"/>
      <w:bookmarkStart w:id="14" w:name="_Toc170115175"/>
      <w:r>
        <w:rPr>
          <w:rFonts w:hint="eastAsia" w:asciiTheme="minorEastAsia" w:hAnsiTheme="minorEastAsia" w:eastAsiaTheme="minorEastAsia" w:cstheme="minorEastAsia"/>
          <w:b/>
          <w:bCs/>
          <w:color w:val="auto"/>
          <w:highlight w:val="none"/>
        </w:rPr>
        <w:t>2.1.6 保密</w:t>
      </w:r>
      <w:bookmarkEnd w:id="13"/>
      <w:bookmarkEnd w:id="14"/>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招投标双方应为对方在投标文件和招标文件中涉及的商业和技术等秘密保密，违者应对由此造成的后果承担责任。</w:t>
      </w:r>
    </w:p>
    <w:p>
      <w:pPr>
        <w:pStyle w:val="9"/>
        <w:rPr>
          <w:rFonts w:hint="eastAsia" w:asciiTheme="minorEastAsia" w:hAnsiTheme="minorEastAsia" w:eastAsiaTheme="minorEastAsia" w:cstheme="minorEastAsia"/>
          <w:color w:val="auto"/>
          <w:sz w:val="21"/>
          <w:szCs w:val="21"/>
          <w:highlight w:val="none"/>
        </w:rPr>
      </w:pPr>
      <w:bookmarkStart w:id="15" w:name="_Toc170115176"/>
      <w:bookmarkStart w:id="16" w:name="_Toc397510371"/>
      <w:r>
        <w:rPr>
          <w:rFonts w:hint="eastAsia" w:asciiTheme="minorEastAsia" w:hAnsiTheme="minorEastAsia" w:eastAsiaTheme="minorEastAsia" w:cstheme="minorEastAsia"/>
          <w:color w:val="auto"/>
          <w:sz w:val="21"/>
          <w:szCs w:val="21"/>
          <w:highlight w:val="none"/>
        </w:rPr>
        <w:t>2.2 招标文件的组成、澄清和修改</w:t>
      </w:r>
      <w:bookmarkEnd w:id="15"/>
      <w:bookmarkEnd w:id="16"/>
    </w:p>
    <w:p>
      <w:pPr>
        <w:spacing w:line="360" w:lineRule="auto"/>
        <w:outlineLvl w:val="2"/>
        <w:rPr>
          <w:rFonts w:hint="eastAsia" w:asciiTheme="minorEastAsia" w:hAnsiTheme="minorEastAsia" w:eastAsiaTheme="minorEastAsia" w:cstheme="minorEastAsia"/>
          <w:b/>
          <w:bCs/>
          <w:color w:val="auto"/>
          <w:highlight w:val="none"/>
        </w:rPr>
      </w:pPr>
      <w:bookmarkStart w:id="17" w:name="_Toc397510372"/>
      <w:bookmarkStart w:id="18" w:name="_Toc170115177"/>
      <w:r>
        <w:rPr>
          <w:rFonts w:hint="eastAsia" w:asciiTheme="minorEastAsia" w:hAnsiTheme="minorEastAsia" w:eastAsiaTheme="minorEastAsia" w:cstheme="minorEastAsia"/>
          <w:b/>
          <w:bCs/>
          <w:color w:val="auto"/>
          <w:highlight w:val="none"/>
        </w:rPr>
        <w:t>2.2.1 招标文件的组成</w:t>
      </w:r>
      <w:bookmarkEnd w:id="17"/>
      <w:bookmarkEnd w:id="18"/>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招标文件包括下列文件：</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1、招标公告；</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2、投标人须知；</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3、评标细则；</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4、合同文件；</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5、投标文件格式。</w:t>
      </w:r>
    </w:p>
    <w:p>
      <w:pPr>
        <w:spacing w:line="360" w:lineRule="auto"/>
        <w:outlineLvl w:val="2"/>
        <w:rPr>
          <w:rFonts w:hint="eastAsia" w:asciiTheme="minorEastAsia" w:hAnsiTheme="minorEastAsia" w:eastAsiaTheme="minorEastAsia" w:cstheme="minorEastAsia"/>
          <w:b/>
          <w:bCs/>
          <w:color w:val="auto"/>
          <w:highlight w:val="none"/>
        </w:rPr>
      </w:pPr>
      <w:bookmarkStart w:id="19" w:name="_Toc170115178"/>
      <w:bookmarkStart w:id="20" w:name="_Toc397510373"/>
      <w:r>
        <w:rPr>
          <w:rFonts w:hint="eastAsia" w:asciiTheme="minorEastAsia" w:hAnsiTheme="minorEastAsia" w:eastAsiaTheme="minorEastAsia" w:cstheme="minorEastAsia"/>
          <w:b/>
          <w:bCs/>
          <w:color w:val="auto"/>
          <w:highlight w:val="none"/>
        </w:rPr>
        <w:t>2.2.2 招标文件的澄清</w:t>
      </w:r>
      <w:bookmarkEnd w:id="19"/>
      <w:bookmarkEnd w:id="20"/>
    </w:p>
    <w:p>
      <w:pPr>
        <w:pStyle w:val="77"/>
        <w:spacing w:line="360" w:lineRule="auto"/>
        <w:ind w:firstLine="420" w:firstLineChars="200"/>
        <w:outlineLvl w:val="1"/>
        <w:rPr>
          <w:rFonts w:hint="eastAsia" w:asciiTheme="minorEastAsia" w:hAnsiTheme="minorEastAsia" w:eastAsiaTheme="minorEastAsia" w:cstheme="minorEastAsia"/>
          <w:color w:val="auto"/>
          <w:sz w:val="21"/>
          <w:szCs w:val="21"/>
          <w:highlight w:val="none"/>
        </w:rPr>
      </w:pPr>
      <w:bookmarkStart w:id="21" w:name="_Toc170115179"/>
      <w:bookmarkStart w:id="22" w:name="_Toc397510374"/>
      <w:r>
        <w:rPr>
          <w:rFonts w:hint="eastAsia" w:asciiTheme="minorEastAsia" w:hAnsiTheme="minorEastAsia" w:eastAsiaTheme="minorEastAsia" w:cstheme="minorEastAsia"/>
          <w:color w:val="auto"/>
          <w:sz w:val="21"/>
          <w:szCs w:val="21"/>
          <w:highlight w:val="none"/>
        </w:rPr>
        <w:t>2.2.2.1投标人应仔细阅读和检查招标文件的全部内容。如发现缺页或附件不全，应及时在</w:t>
      </w:r>
      <w:r>
        <w:rPr>
          <w:rFonts w:hint="eastAsia" w:asciiTheme="minorEastAsia" w:hAnsiTheme="minorEastAsia" w:eastAsiaTheme="minorEastAsia" w:cstheme="minorEastAsia"/>
          <w:color w:val="auto"/>
          <w:sz w:val="21"/>
          <w:szCs w:val="21"/>
          <w:highlight w:val="none"/>
          <w:lang w:val="en-US" w:eastAsia="zh-CN"/>
        </w:rPr>
        <w:t>平顶山公共资源交易中心</w:t>
      </w:r>
      <w:r>
        <w:rPr>
          <w:rFonts w:hint="eastAsia" w:asciiTheme="minorEastAsia" w:hAnsiTheme="minorEastAsia" w:eastAsiaTheme="minorEastAsia" w:cstheme="minorEastAsia"/>
          <w:color w:val="auto"/>
          <w:sz w:val="21"/>
          <w:szCs w:val="21"/>
          <w:highlight w:val="none"/>
        </w:rPr>
        <w:t>系统中提出，以便补齐。如有疑问，应在投标人须知前附表规定的投标截止时间15天前在电子交易系统中提出。</w:t>
      </w:r>
    </w:p>
    <w:p>
      <w:pPr>
        <w:pStyle w:val="77"/>
        <w:spacing w:line="360" w:lineRule="auto"/>
        <w:ind w:firstLine="420" w:firstLineChars="200"/>
        <w:outlineLvl w:val="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2.2.2.2  招标文件的澄清在投标人须知前附表规定的投标截止时间15天前在电子交易系统中澄清。</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2.2.3 招标文件的修改</w:t>
      </w:r>
      <w:bookmarkEnd w:id="21"/>
      <w:bookmarkEnd w:id="22"/>
    </w:p>
    <w:p>
      <w:pPr>
        <w:pStyle w:val="77"/>
        <w:spacing w:line="360" w:lineRule="auto"/>
        <w:ind w:firstLine="420" w:firstLineChars="200"/>
        <w:outlineLvl w:val="1"/>
        <w:rPr>
          <w:rFonts w:hint="eastAsia" w:asciiTheme="minorEastAsia" w:hAnsiTheme="minorEastAsia" w:eastAsiaTheme="minorEastAsia" w:cstheme="minorEastAsia"/>
          <w:color w:val="auto"/>
          <w:sz w:val="21"/>
          <w:szCs w:val="21"/>
          <w:highlight w:val="none"/>
        </w:rPr>
      </w:pPr>
      <w:bookmarkStart w:id="23" w:name="_Toc397510375"/>
      <w:bookmarkStart w:id="24" w:name="_Toc170115180"/>
      <w:r>
        <w:rPr>
          <w:rFonts w:hint="eastAsia" w:asciiTheme="minorEastAsia" w:hAnsiTheme="minorEastAsia" w:eastAsiaTheme="minorEastAsia" w:cstheme="minorEastAsia"/>
          <w:color w:val="auto"/>
          <w:sz w:val="21"/>
          <w:szCs w:val="21"/>
          <w:highlight w:val="none"/>
        </w:rPr>
        <w:t>在投标截止时间 15 天前，招标人可以在电子交易系统中修改招标文件。</w:t>
      </w:r>
    </w:p>
    <w:p>
      <w:pPr>
        <w:pStyle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 现场考察</w:t>
      </w:r>
      <w:bookmarkEnd w:id="23"/>
      <w:bookmarkEnd w:id="24"/>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不组织，自行踏勘。</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（1）投标人应自行承担因参加投标会以及勘察现场而发生的所有费用及风险。</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（2）招标人向投标人提供的有关工程现场的数据和资料，是招标人现有的能使投标人利用的资料，招标人对投标人由此所做出的推论、理解和结论概不负责。</w:t>
      </w:r>
    </w:p>
    <w:p>
      <w:pPr>
        <w:pStyle w:val="9"/>
        <w:rPr>
          <w:rFonts w:hint="eastAsia" w:asciiTheme="minorEastAsia" w:hAnsiTheme="minorEastAsia" w:eastAsiaTheme="minorEastAsia" w:cstheme="minorEastAsia"/>
          <w:color w:val="auto"/>
          <w:sz w:val="21"/>
          <w:szCs w:val="21"/>
          <w:highlight w:val="none"/>
        </w:rPr>
      </w:pPr>
      <w:bookmarkStart w:id="25" w:name="_Toc170115181"/>
      <w:bookmarkStart w:id="26" w:name="_Toc397510376"/>
      <w:r>
        <w:rPr>
          <w:rFonts w:hint="eastAsia" w:asciiTheme="minorEastAsia" w:hAnsiTheme="minorEastAsia" w:eastAsiaTheme="minorEastAsia" w:cstheme="minorEastAsia"/>
          <w:color w:val="auto"/>
          <w:sz w:val="21"/>
          <w:szCs w:val="21"/>
          <w:highlight w:val="none"/>
        </w:rPr>
        <w:t>2.4 投标文件的编制</w:t>
      </w:r>
      <w:bookmarkEnd w:id="25"/>
      <w:bookmarkEnd w:id="26"/>
    </w:p>
    <w:p>
      <w:pPr>
        <w:spacing w:line="360" w:lineRule="auto"/>
        <w:outlineLvl w:val="2"/>
        <w:rPr>
          <w:rFonts w:hint="eastAsia" w:asciiTheme="minorEastAsia" w:hAnsiTheme="minorEastAsia" w:eastAsiaTheme="minorEastAsia" w:cstheme="minorEastAsia"/>
          <w:b/>
          <w:bCs/>
          <w:color w:val="auto"/>
          <w:highlight w:val="none"/>
        </w:rPr>
      </w:pPr>
      <w:bookmarkStart w:id="27" w:name="_Toc170115182"/>
      <w:bookmarkStart w:id="28" w:name="_Toc397510377"/>
      <w:r>
        <w:rPr>
          <w:rFonts w:hint="eastAsia" w:asciiTheme="minorEastAsia" w:hAnsiTheme="minorEastAsia" w:eastAsiaTheme="minorEastAsia" w:cstheme="minorEastAsia"/>
          <w:b/>
          <w:bCs/>
          <w:color w:val="auto"/>
          <w:highlight w:val="none"/>
        </w:rPr>
        <w:t>2.4.1 投标文件的语言文字</w:t>
      </w:r>
      <w:bookmarkEnd w:id="27"/>
      <w:bookmarkEnd w:id="28"/>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投标文件、投标人与招标人（或招标代理机构）之间来往的所有文件使用汉语文字。</w:t>
      </w:r>
    </w:p>
    <w:p>
      <w:pPr>
        <w:spacing w:line="360" w:lineRule="auto"/>
        <w:outlineLvl w:val="2"/>
        <w:rPr>
          <w:rFonts w:hint="eastAsia" w:asciiTheme="minorEastAsia" w:hAnsiTheme="minorEastAsia" w:eastAsiaTheme="minorEastAsia" w:cstheme="minorEastAsia"/>
          <w:b/>
          <w:bCs/>
          <w:color w:val="auto"/>
          <w:highlight w:val="none"/>
        </w:rPr>
      </w:pPr>
      <w:bookmarkStart w:id="29" w:name="_Toc397510378"/>
      <w:bookmarkStart w:id="30" w:name="_Toc170115183"/>
      <w:r>
        <w:rPr>
          <w:rFonts w:hint="eastAsia" w:asciiTheme="minorEastAsia" w:hAnsiTheme="minorEastAsia" w:eastAsiaTheme="minorEastAsia" w:cstheme="minorEastAsia"/>
          <w:b/>
          <w:bCs/>
          <w:color w:val="auto"/>
          <w:highlight w:val="none"/>
        </w:rPr>
        <w:t>2.4.2 投标文件的组成</w:t>
      </w:r>
      <w:bookmarkEnd w:id="29"/>
      <w:bookmarkEnd w:id="30"/>
    </w:p>
    <w:p>
      <w:pPr>
        <w:spacing w:line="360" w:lineRule="auto"/>
        <w:outlineLvl w:val="2"/>
        <w:rPr>
          <w:rFonts w:hint="eastAsia" w:asciiTheme="minorEastAsia" w:hAnsiTheme="minorEastAsia" w:eastAsiaTheme="minorEastAsia" w:cstheme="minorEastAsia"/>
          <w:color w:val="auto"/>
          <w:highlight w:val="none"/>
        </w:rPr>
      </w:pPr>
      <w:bookmarkStart w:id="31" w:name="_Toc397510379"/>
      <w:bookmarkStart w:id="32" w:name="_Toc170115184"/>
      <w:r>
        <w:rPr>
          <w:rFonts w:hint="eastAsia" w:asciiTheme="minorEastAsia" w:hAnsiTheme="minorEastAsia" w:eastAsiaTheme="minorEastAsia" w:cstheme="minorEastAsia"/>
          <w:color w:val="auto"/>
          <w:highlight w:val="none"/>
        </w:rPr>
        <w:t>1、投标函及投标函附录；</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2、法定代表人资格证明书</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3、授权委托书；</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4、监理大纲；</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5、项目管理机构；</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6、投标人基本情况表；</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7、资格证明资料；</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8、投标保证金缴付凭证（汇款凭证原件的图片（或扫描件））；</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9、其他材料。</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 xml:space="preserve">2.4.3 </w:t>
      </w:r>
      <w:bookmarkEnd w:id="31"/>
      <w:bookmarkEnd w:id="32"/>
      <w:r>
        <w:rPr>
          <w:rFonts w:hint="eastAsia" w:asciiTheme="minorEastAsia" w:hAnsiTheme="minorEastAsia" w:eastAsiaTheme="minorEastAsia" w:cstheme="minorEastAsia"/>
          <w:b/>
          <w:bCs/>
          <w:color w:val="auto"/>
          <w:highlight w:val="none"/>
        </w:rPr>
        <w:t>投标报价</w:t>
      </w:r>
    </w:p>
    <w:p>
      <w:pPr>
        <w:spacing w:line="360" w:lineRule="auto"/>
        <w:outlineLvl w:val="2"/>
        <w:rPr>
          <w:rFonts w:hint="eastAsia" w:asciiTheme="minorEastAsia" w:hAnsiTheme="minorEastAsia" w:eastAsiaTheme="minorEastAsia" w:cstheme="minorEastAsia"/>
          <w:color w:val="auto"/>
          <w:highlight w:val="none"/>
        </w:rPr>
      </w:pPr>
      <w:bookmarkStart w:id="33" w:name="_Toc170115185"/>
      <w:bookmarkStart w:id="34" w:name="_Toc397510380"/>
      <w:r>
        <w:rPr>
          <w:rFonts w:hint="eastAsia" w:asciiTheme="minorEastAsia" w:hAnsiTheme="minorEastAsia" w:eastAsiaTheme="minorEastAsia" w:cstheme="minorEastAsia"/>
          <w:color w:val="auto"/>
          <w:highlight w:val="none"/>
        </w:rPr>
        <w:t>2.4.3.1 投标人的监理酬金是在监理服务期内，投标人按合同规定的范围所提供的全部服务所需的费用；</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2.4.3.2投标人的报价应按照《国家发改委关于进一步放开建设项目专业服务价格的通知》 (发改价格〔2015〕299号)，并参考《建设工程监理与相关服务收费管理规定》（发改价格[2007]670号文）和《建设工程监理与相关服务收费管理规定》的通知，结合市场行情和本工程实际情况自主报价。</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2.4.3.3 投标人只能提交一个报价，招标人不接受任何选择报价；</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2.4.3.4 本项目以人民币结算。</w:t>
      </w:r>
    </w:p>
    <w:p>
      <w:pPr>
        <w:spacing w:line="360" w:lineRule="auto"/>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2.4.3.5投标人在投标截止时间前修改投标函中的投标报价，应须符合本章第2.5.</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 xml:space="preserve"> 款的有关要求。</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2.4.4 投标文件有效期</w:t>
      </w:r>
      <w:bookmarkEnd w:id="33"/>
      <w:bookmarkEnd w:id="34"/>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2.4.4.1 在投标人须知前附表规定的投标有效期内，投标人不得要求撤销或修改其投标文件。</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2.4.4.2 招标人认为有必要延长投标文件的有效期时，将以书面形式要求投标人延长投标文件的有效期，但最长不超过30天。投标人应以书面形式答复招标人的上述要求。投标人若拒绝招标人的要求，可在原定有效期期满后收回投标保证金，投标文件无效，并可退还；若接受招标人的要求，则投标文件继续有效，但仍不允许修改，并相应延长投标保证金的有效期。在延长期内，本须知第2.4.5条的规定仍适用。</w:t>
      </w:r>
    </w:p>
    <w:p>
      <w:pPr>
        <w:spacing w:line="360" w:lineRule="auto"/>
        <w:outlineLvl w:val="2"/>
        <w:rPr>
          <w:rFonts w:hint="eastAsia" w:asciiTheme="minorEastAsia" w:hAnsiTheme="minorEastAsia" w:eastAsiaTheme="minorEastAsia" w:cstheme="minorEastAsia"/>
          <w:b/>
          <w:bCs/>
          <w:color w:val="auto"/>
          <w:highlight w:val="none"/>
        </w:rPr>
      </w:pPr>
      <w:bookmarkStart w:id="35" w:name="_Toc170115186"/>
      <w:bookmarkStart w:id="36" w:name="_Toc397510381"/>
      <w:r>
        <w:rPr>
          <w:rFonts w:hint="eastAsia" w:asciiTheme="minorEastAsia" w:hAnsiTheme="minorEastAsia" w:eastAsiaTheme="minorEastAsia" w:cstheme="minorEastAsia"/>
          <w:b/>
          <w:bCs/>
          <w:color w:val="auto"/>
          <w:highlight w:val="none"/>
        </w:rPr>
        <w:t>2.4.5 投标保证金</w:t>
      </w:r>
      <w:bookmarkEnd w:id="35"/>
      <w:bookmarkEnd w:id="36"/>
    </w:p>
    <w:p>
      <w:pPr>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2.4.5.1  投标人按投标须知前附表3.3要求交纳投标保证金；未提交投标保证金的投标文件无效。</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2.4.5.2投标保证金的退还方式：按照“国务院令第658号”中规定退还保证金。</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2.4.5.3 如有下列情况之一，投标保证金将被没收：</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1）投标人在本须知第2.4.4条规定的投标文件有效期内撤回其投标文件；</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2）投标人提供虚假材料的；</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3）除不可抗力或招标人原因外，中标人在收到中标通知书后未能或拒绝签署合同书。</w:t>
      </w:r>
    </w:p>
    <w:p>
      <w:pPr>
        <w:spacing w:line="360" w:lineRule="auto"/>
        <w:outlineLvl w:val="2"/>
        <w:rPr>
          <w:rFonts w:hint="eastAsia" w:asciiTheme="minorEastAsia" w:hAnsiTheme="minorEastAsia" w:eastAsiaTheme="minorEastAsia" w:cstheme="minorEastAsia"/>
          <w:b/>
          <w:bCs/>
          <w:color w:val="auto"/>
          <w:highlight w:val="none"/>
        </w:rPr>
      </w:pPr>
      <w:bookmarkStart w:id="37" w:name="_Toc170115187"/>
      <w:bookmarkStart w:id="38" w:name="_Toc397510382"/>
      <w:r>
        <w:rPr>
          <w:rFonts w:hint="eastAsia" w:asciiTheme="minorEastAsia" w:hAnsiTheme="minorEastAsia" w:eastAsiaTheme="minorEastAsia" w:cstheme="minorEastAsia"/>
          <w:b/>
          <w:bCs/>
          <w:color w:val="auto"/>
          <w:highlight w:val="none"/>
        </w:rPr>
        <w:t>2.4.6 电子投标文件的份数和签署要求</w:t>
      </w:r>
      <w:bookmarkEnd w:id="37"/>
      <w:bookmarkEnd w:id="38"/>
      <w:bookmarkStart w:id="39" w:name="_Toc397510383"/>
      <w:bookmarkStart w:id="40" w:name="_Toc170115188"/>
    </w:p>
    <w:p>
      <w:pPr>
        <w:spacing w:line="360" w:lineRule="auto"/>
        <w:outlineLvl w:val="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见投标人须知前附表。</w:t>
      </w:r>
    </w:p>
    <w:p>
      <w:pPr>
        <w:spacing w:line="360" w:lineRule="auto"/>
        <w:outlineLvl w:val="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2.5 投标</w:t>
      </w:r>
    </w:p>
    <w:p>
      <w:pPr>
        <w:pStyle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2.5.1 投标文件的递交</w:t>
      </w:r>
      <w:bookmarkEnd w:id="39"/>
      <w:bookmarkEnd w:id="40"/>
    </w:p>
    <w:p>
      <w:pPr>
        <w:spacing w:line="360" w:lineRule="auto"/>
        <w:outlineLvl w:val="2"/>
        <w:rPr>
          <w:rFonts w:hint="eastAsia" w:asciiTheme="minorEastAsia" w:hAnsiTheme="minorEastAsia" w:eastAsiaTheme="minorEastAsia" w:cstheme="minorEastAsia"/>
          <w:b/>
          <w:bCs/>
          <w:color w:val="auto"/>
          <w:highlight w:val="none"/>
        </w:rPr>
      </w:pPr>
      <w:bookmarkStart w:id="41" w:name="_Toc397510384"/>
      <w:bookmarkStart w:id="42" w:name="_Toc170115189"/>
      <w:r>
        <w:rPr>
          <w:rFonts w:hint="eastAsia" w:asciiTheme="minorEastAsia" w:hAnsiTheme="minorEastAsia" w:eastAsiaTheme="minorEastAsia" w:cstheme="minorEastAsia"/>
          <w:color w:val="auto"/>
          <w:szCs w:val="21"/>
          <w:highlight w:val="none"/>
        </w:rPr>
        <w:t>2.5.1.1</w:t>
      </w:r>
      <w:r>
        <w:rPr>
          <w:rFonts w:hint="eastAsia" w:asciiTheme="minorEastAsia" w:hAnsiTheme="minorEastAsia" w:eastAsiaTheme="minorEastAsia" w:cstheme="minorEastAsia"/>
          <w:b/>
          <w:bCs/>
          <w:color w:val="auto"/>
          <w:highlight w:val="none"/>
        </w:rPr>
        <w:t xml:space="preserve"> 投标人通过下载招标文件的电子招标投标交易平台递交电子投标文件。</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Cs w:val="21"/>
          <w:highlight w:val="none"/>
        </w:rPr>
        <w:t>2.5.1.2</w:t>
      </w:r>
      <w:r>
        <w:rPr>
          <w:rFonts w:hint="eastAsia" w:asciiTheme="minorEastAsia" w:hAnsiTheme="minorEastAsia" w:eastAsiaTheme="minorEastAsia" w:cstheme="minorEastAsia"/>
          <w:b/>
          <w:bCs/>
          <w:color w:val="auto"/>
          <w:highlight w:val="none"/>
        </w:rPr>
        <w:t>投标人解密投标文件的地点：见投标人须知前附表。</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Cs w:val="21"/>
          <w:highlight w:val="none"/>
        </w:rPr>
        <w:t>2.5.1.3</w:t>
      </w:r>
      <w:r>
        <w:rPr>
          <w:rFonts w:hint="eastAsia" w:asciiTheme="minorEastAsia" w:hAnsiTheme="minorEastAsia" w:eastAsiaTheme="minorEastAsia" w:cstheme="minorEastAsia"/>
          <w:b/>
          <w:bCs/>
          <w:color w:val="auto"/>
          <w:highlight w:val="none"/>
        </w:rPr>
        <w:t>除投标人须知前附表另有规定外，投标人所递交的投标文件不予退还。</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Cs w:val="21"/>
          <w:highlight w:val="none"/>
        </w:rPr>
        <w:t>2.5.1.4</w:t>
      </w:r>
      <w:r>
        <w:rPr>
          <w:rFonts w:hint="eastAsia" w:asciiTheme="minorEastAsia" w:hAnsiTheme="minorEastAsia" w:eastAsiaTheme="minorEastAsia" w:cstheme="minorEastAsia"/>
          <w:b/>
          <w:bCs/>
          <w:color w:val="auto"/>
          <w:highlight w:val="none"/>
        </w:rPr>
        <w:t>投标人完成电子投标文件上传后，电子招标投标交易平台即时向投标人发出递交回执通知。递交时间以递交回执通知载明的传输完成时间为准。</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Cs w:val="21"/>
          <w:highlight w:val="none"/>
        </w:rPr>
        <w:t>2.5.1.5</w:t>
      </w:r>
      <w:r>
        <w:rPr>
          <w:rFonts w:hint="eastAsia" w:asciiTheme="minorEastAsia" w:hAnsiTheme="minorEastAsia" w:eastAsiaTheme="minorEastAsia" w:cstheme="minorEastAsia"/>
          <w:b/>
          <w:bCs/>
          <w:color w:val="auto"/>
          <w:highlight w:val="none"/>
        </w:rPr>
        <w:t>逾期送达的或者未送达指定地点的投标文件，电子招标投标交易平台将予以拒收。</w:t>
      </w:r>
    </w:p>
    <w:p>
      <w:pPr>
        <w:spacing w:line="360" w:lineRule="auto"/>
        <w:outlineLvl w:val="2"/>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rPr>
        <w:t>2.5.2 投标文件电子版的密封和标记</w:t>
      </w:r>
      <w:bookmarkEnd w:id="41"/>
      <w:bookmarkEnd w:id="42"/>
      <w:r>
        <w:rPr>
          <w:rFonts w:hint="eastAsia" w:asciiTheme="minorEastAsia" w:hAnsiTheme="minorEastAsia" w:eastAsiaTheme="minorEastAsia" w:cstheme="minorEastAsia"/>
          <w:b/>
          <w:bCs/>
          <w:color w:val="auto"/>
          <w:highlight w:val="none"/>
          <w:lang w:eastAsia="zh-CN"/>
        </w:rPr>
        <w:t>（无）</w:t>
      </w:r>
    </w:p>
    <w:p>
      <w:pPr>
        <w:spacing w:line="360" w:lineRule="auto"/>
        <w:outlineLvl w:val="2"/>
        <w:rPr>
          <w:rFonts w:hint="eastAsia" w:asciiTheme="minorEastAsia" w:hAnsiTheme="minorEastAsia" w:eastAsiaTheme="minorEastAsia" w:cstheme="minorEastAsia"/>
          <w:b/>
          <w:bCs/>
          <w:color w:val="auto"/>
          <w:highlight w:val="none"/>
        </w:rPr>
      </w:pPr>
      <w:bookmarkStart w:id="43" w:name="_Toc397510385"/>
      <w:bookmarkStart w:id="44" w:name="_Toc170115190"/>
      <w:r>
        <w:rPr>
          <w:rFonts w:hint="eastAsia" w:asciiTheme="minorEastAsia" w:hAnsiTheme="minorEastAsia" w:eastAsiaTheme="minorEastAsia" w:cstheme="minorEastAsia"/>
          <w:b/>
          <w:bCs/>
          <w:color w:val="auto"/>
          <w:highlight w:val="none"/>
        </w:rPr>
        <w:t>2.5.3投标截止时间</w:t>
      </w:r>
      <w:bookmarkEnd w:id="43"/>
      <w:bookmarkEnd w:id="44"/>
    </w:p>
    <w:p>
      <w:pPr>
        <w:widowControl/>
        <w:adjustRightInd w:val="0"/>
        <w:snapToGrid w:val="0"/>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2.5.3.1 投标截止时间见投标人须知前附表。</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2.5.3.2 招标人（或招标代理机构）认为有必要延后投标截止时间时，将发出补充通知。在此情况下，招标文件规定的招标人（或招标代理机构）和投标人与投标截止时间有关的义务和权利也将适用至延长后的投标截止时间。</w:t>
      </w:r>
    </w:p>
    <w:p>
      <w:pPr>
        <w:spacing w:line="360" w:lineRule="auto"/>
        <w:outlineLvl w:val="2"/>
        <w:rPr>
          <w:rFonts w:hint="eastAsia" w:asciiTheme="minorEastAsia" w:hAnsiTheme="minorEastAsia" w:eastAsiaTheme="minorEastAsia" w:cstheme="minorEastAsia"/>
          <w:b/>
          <w:bCs/>
          <w:color w:val="auto"/>
          <w:highlight w:val="none"/>
        </w:rPr>
      </w:pPr>
      <w:bookmarkStart w:id="45" w:name="_Toc170115191"/>
      <w:bookmarkStart w:id="46" w:name="_Toc397510386"/>
      <w:r>
        <w:rPr>
          <w:rFonts w:hint="eastAsia" w:asciiTheme="minorEastAsia" w:hAnsiTheme="minorEastAsia" w:eastAsiaTheme="minorEastAsia" w:cstheme="minorEastAsia"/>
          <w:b/>
          <w:bCs/>
          <w:color w:val="auto"/>
          <w:highlight w:val="none"/>
        </w:rPr>
        <w:t>2.5.4 迟到的投标文件</w:t>
      </w:r>
      <w:bookmarkEnd w:id="45"/>
      <w:bookmarkEnd w:id="46"/>
    </w:p>
    <w:p>
      <w:pPr>
        <w:spacing w:line="360" w:lineRule="auto"/>
        <w:ind w:firstLine="57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在本须知第2.5.</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条规定的投标截止时间以后送达的投标文件，招标人（或招标代理机构）将不予接收。</w:t>
      </w:r>
    </w:p>
    <w:p>
      <w:pPr>
        <w:spacing w:line="360" w:lineRule="auto"/>
        <w:outlineLvl w:val="2"/>
        <w:rPr>
          <w:rFonts w:hint="eastAsia" w:asciiTheme="minorEastAsia" w:hAnsiTheme="minorEastAsia" w:eastAsiaTheme="minorEastAsia" w:cstheme="minorEastAsia"/>
          <w:b/>
          <w:bCs/>
          <w:color w:val="auto"/>
          <w:highlight w:val="none"/>
        </w:rPr>
      </w:pPr>
      <w:bookmarkStart w:id="47" w:name="_Toc397510387"/>
      <w:bookmarkStart w:id="48" w:name="_Toc170115192"/>
      <w:r>
        <w:rPr>
          <w:rFonts w:hint="eastAsia" w:asciiTheme="minorEastAsia" w:hAnsiTheme="minorEastAsia" w:eastAsiaTheme="minorEastAsia" w:cstheme="minorEastAsia"/>
          <w:b/>
          <w:bCs/>
          <w:color w:val="auto"/>
          <w:highlight w:val="none"/>
        </w:rPr>
        <w:t>2.5.5 投标文件的修改与撤回</w:t>
      </w:r>
      <w:bookmarkEnd w:id="47"/>
      <w:bookmarkEnd w:id="48"/>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2.5.5.1 投标人若需修改或撤回投标文件，必须在本须知第2.5.</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条规定的投标截止时间前，将修改或撤回的书面通知送达招标人（或招标代理机构）签收。</w:t>
      </w:r>
    </w:p>
    <w:p>
      <w:pPr>
        <w:spacing w:line="360" w:lineRule="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2.5.5.2 投标人的修改或撤回通知应按本须知第2.4.6条和第2.5.2条的规定进行编制，并标明“修改”或“撤回”字样。</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2.5.5.3 在投标文件有效期内，投标人不得修改或撤回投标文件。如投标人在投标文件有效期内撤回投标文件，招标人按本须知2.4.5.3款的规定可没收其投标保证金。</w:t>
      </w:r>
    </w:p>
    <w:p>
      <w:pPr>
        <w:pStyle w:val="9"/>
        <w:rPr>
          <w:rFonts w:hint="eastAsia" w:asciiTheme="minorEastAsia" w:hAnsiTheme="minorEastAsia" w:eastAsiaTheme="minorEastAsia" w:cstheme="minorEastAsia"/>
          <w:color w:val="auto"/>
          <w:sz w:val="21"/>
          <w:szCs w:val="21"/>
          <w:highlight w:val="none"/>
        </w:rPr>
      </w:pPr>
      <w:bookmarkStart w:id="49" w:name="_Toc397510388"/>
      <w:bookmarkStart w:id="50" w:name="_Toc170115193"/>
      <w:r>
        <w:rPr>
          <w:rFonts w:hint="eastAsia" w:asciiTheme="minorEastAsia" w:hAnsiTheme="minorEastAsia" w:eastAsiaTheme="minorEastAsia" w:cstheme="minorEastAsia"/>
          <w:color w:val="auto"/>
          <w:sz w:val="21"/>
          <w:szCs w:val="21"/>
          <w:highlight w:val="none"/>
        </w:rPr>
        <w:t>2.6 投标文件的拒绝和无效</w:t>
      </w:r>
      <w:bookmarkEnd w:id="49"/>
      <w:bookmarkEnd w:id="50"/>
    </w:p>
    <w:p>
      <w:pPr>
        <w:spacing w:line="360" w:lineRule="auto"/>
        <w:ind w:firstLine="420" w:firstLineChars="20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属于下列情况之一的投标文件，招标人（或招标代理机构）或评标委员会可以拒绝或按无效标处理：</w:t>
      </w:r>
    </w:p>
    <w:p>
      <w:pPr>
        <w:spacing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lang w:val="en-US" w:eastAsia="zh-CN"/>
        </w:rPr>
        <w:t>1</w:t>
      </w:r>
      <w:r>
        <w:rPr>
          <w:rFonts w:hint="eastAsia" w:asciiTheme="minorEastAsia" w:hAnsiTheme="minorEastAsia" w:eastAsiaTheme="minorEastAsia" w:cstheme="minorEastAsia"/>
          <w:b/>
          <w:bCs/>
          <w:color w:val="auto"/>
          <w:highlight w:val="none"/>
        </w:rPr>
        <w:t>）投标人未按照招标文件要求提交投标保证金；</w:t>
      </w:r>
    </w:p>
    <w:p>
      <w:pPr>
        <w:spacing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lang w:val="en-US" w:eastAsia="zh-CN"/>
        </w:rPr>
        <w:t>2</w:t>
      </w:r>
      <w:r>
        <w:rPr>
          <w:rFonts w:hint="eastAsia" w:asciiTheme="minorEastAsia" w:hAnsiTheme="minorEastAsia" w:eastAsiaTheme="minorEastAsia" w:cstheme="minorEastAsia"/>
          <w:b/>
          <w:bCs/>
          <w:color w:val="auto"/>
          <w:highlight w:val="none"/>
        </w:rPr>
        <w:t>）投标文件中含有虚假资料；</w:t>
      </w:r>
    </w:p>
    <w:p>
      <w:pPr>
        <w:pStyle w:val="9"/>
        <w:keepNext/>
        <w:keepLines/>
        <w:pageBreakBefore w:val="0"/>
        <w:widowControl w:val="0"/>
        <w:kinsoku/>
        <w:wordWrap/>
        <w:overflowPunct/>
        <w:topLinePunct w:val="0"/>
        <w:autoSpaceDE/>
        <w:autoSpaceDN/>
        <w:bidi w:val="0"/>
        <w:adjustRightInd/>
        <w:snapToGrid/>
        <w:spacing w:before="20" w:after="20" w:line="413" w:lineRule="auto"/>
        <w:textAlignment w:val="auto"/>
        <w:rPr>
          <w:rFonts w:hint="eastAsia" w:asciiTheme="minorEastAsia" w:hAnsiTheme="minorEastAsia" w:eastAsiaTheme="minorEastAsia" w:cstheme="minorEastAsia"/>
          <w:color w:val="auto"/>
          <w:sz w:val="21"/>
          <w:szCs w:val="21"/>
          <w:highlight w:val="none"/>
        </w:rPr>
      </w:pPr>
      <w:bookmarkStart w:id="51" w:name="_Toc397510389"/>
      <w:bookmarkStart w:id="52" w:name="_Toc170115194"/>
      <w:r>
        <w:rPr>
          <w:rFonts w:hint="eastAsia" w:asciiTheme="minorEastAsia" w:hAnsiTheme="minorEastAsia" w:eastAsiaTheme="minorEastAsia" w:cstheme="minorEastAsia"/>
          <w:color w:val="auto"/>
          <w:sz w:val="21"/>
          <w:szCs w:val="21"/>
          <w:highlight w:val="none"/>
        </w:rPr>
        <w:t>2.7 开标与评标</w:t>
      </w:r>
      <w:bookmarkEnd w:id="51"/>
      <w:bookmarkEnd w:id="52"/>
    </w:p>
    <w:p>
      <w:pPr>
        <w:spacing w:line="360" w:lineRule="auto"/>
        <w:outlineLvl w:val="2"/>
        <w:rPr>
          <w:rFonts w:hint="eastAsia" w:asciiTheme="minorEastAsia" w:hAnsiTheme="minorEastAsia" w:eastAsiaTheme="minorEastAsia" w:cstheme="minorEastAsia"/>
          <w:b/>
          <w:bCs/>
          <w:color w:val="auto"/>
          <w:highlight w:val="none"/>
        </w:rPr>
      </w:pPr>
      <w:bookmarkStart w:id="53" w:name="_Toc170115195"/>
      <w:bookmarkStart w:id="54" w:name="_Toc397510390"/>
      <w:r>
        <w:rPr>
          <w:rFonts w:hint="eastAsia" w:asciiTheme="minorEastAsia" w:hAnsiTheme="minorEastAsia" w:eastAsiaTheme="minorEastAsia" w:cstheme="minorEastAsia"/>
          <w:b/>
          <w:bCs/>
          <w:color w:val="auto"/>
          <w:highlight w:val="none"/>
        </w:rPr>
        <w:t>2.7.1 开标</w:t>
      </w:r>
    </w:p>
    <w:p>
      <w:pPr>
        <w:spacing w:line="360" w:lineRule="auto"/>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2.7.1.1开标时间和地点</w:t>
      </w:r>
    </w:p>
    <w:p>
      <w:pPr>
        <w:spacing w:line="360" w:lineRule="auto"/>
        <w:ind w:firstLine="420" w:firstLineChars="200"/>
        <w:outlineLvl w:val="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highlight w:val="none"/>
        </w:rPr>
        <w:t>招标人在规定的投标截止时间（开标时间）和投标人须知前附表规定的地点公开开标，</w:t>
      </w:r>
      <w:r>
        <w:rPr>
          <w:rFonts w:hint="eastAsia" w:asciiTheme="minorEastAsia" w:hAnsiTheme="minorEastAsia" w:eastAsiaTheme="minorEastAsia" w:cstheme="minorEastAsia"/>
          <w:b/>
          <w:bCs/>
          <w:color w:val="auto"/>
          <w:highlight w:val="none"/>
        </w:rPr>
        <w:t>平顶山市公共资源交易中心全面实行在线“不见面”开标，投标人远程在线解密投标文件，不再到开标现场，投标人开标前应仔细阅读招标文件中《“不见面”开标注意事项及操作流程》。</w:t>
      </w:r>
    </w:p>
    <w:bookmarkEnd w:id="53"/>
    <w:bookmarkEnd w:id="54"/>
    <w:p>
      <w:pPr>
        <w:spacing w:line="360" w:lineRule="auto"/>
        <w:outlineLvl w:val="2"/>
        <w:rPr>
          <w:rFonts w:hint="eastAsia" w:asciiTheme="minorEastAsia" w:hAnsiTheme="minorEastAsia" w:eastAsiaTheme="minorEastAsia" w:cstheme="minorEastAsia"/>
          <w:b/>
          <w:bCs/>
          <w:color w:val="auto"/>
          <w:highlight w:val="none"/>
        </w:rPr>
      </w:pPr>
      <w:bookmarkStart w:id="55" w:name="_Toc397510391"/>
      <w:bookmarkStart w:id="56" w:name="_Toc170115196"/>
      <w:r>
        <w:rPr>
          <w:rFonts w:hint="eastAsia" w:asciiTheme="minorEastAsia" w:hAnsiTheme="minorEastAsia" w:eastAsiaTheme="minorEastAsia" w:cstheme="minorEastAsia"/>
          <w:b/>
          <w:bCs/>
          <w:color w:val="auto"/>
          <w:highlight w:val="none"/>
        </w:rPr>
        <w:t>2.7.2 评标</w:t>
      </w:r>
      <w:bookmarkEnd w:id="55"/>
      <w:bookmarkEnd w:id="56"/>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2.7.2.1评标委员会构成：评标由招标人依法组建的评标委员会负责,详见投标人须知前附表。</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2.7.2.2评标委员会依据招标文件规定的评标细则对所有有效投标文件进行评审，并向招标人书面提交评标报告。</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2.7.2.3 本次评标采用综合评分法，详见第三章评标细则。</w:t>
      </w:r>
    </w:p>
    <w:p>
      <w:pPr>
        <w:spacing w:line="360" w:lineRule="auto"/>
        <w:outlineLvl w:val="2"/>
        <w:rPr>
          <w:rFonts w:hint="eastAsia" w:asciiTheme="minorEastAsia" w:hAnsiTheme="minorEastAsia" w:eastAsiaTheme="minorEastAsia" w:cstheme="minorEastAsia"/>
          <w:b/>
          <w:bCs/>
          <w:color w:val="auto"/>
          <w:highlight w:val="none"/>
        </w:rPr>
      </w:pPr>
      <w:bookmarkStart w:id="57" w:name="_Toc397510392"/>
      <w:bookmarkStart w:id="58" w:name="_Toc170115197"/>
      <w:r>
        <w:rPr>
          <w:rFonts w:hint="eastAsia" w:asciiTheme="minorEastAsia" w:hAnsiTheme="minorEastAsia" w:eastAsiaTheme="minorEastAsia" w:cstheme="minorEastAsia"/>
          <w:b/>
          <w:bCs/>
          <w:color w:val="auto"/>
          <w:highlight w:val="none"/>
        </w:rPr>
        <w:t>2.7.3 算术性修正</w:t>
      </w:r>
      <w:bookmarkEnd w:id="57"/>
      <w:bookmarkEnd w:id="58"/>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2.7.3.1 对实质上响应招标文件要求的投标文件，评标委员会将校核其投标报价是否存在算术错误。修正错误的原则为：</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1）大写金额与小写金额不一致时，以大写金额为准；</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2.7.3.2 评标委员会将按上述算术性修正原则修正投标人的投标报价，并书面通知投标人确认。如投标人确认，修正后的报价对投标人起约束作用。如投标人不接受修正后的报价，则其投标将被否决。</w:t>
      </w:r>
    </w:p>
    <w:p>
      <w:pPr>
        <w:spacing w:line="360" w:lineRule="auto"/>
        <w:outlineLvl w:val="2"/>
        <w:rPr>
          <w:rFonts w:hint="eastAsia" w:asciiTheme="minorEastAsia" w:hAnsiTheme="minorEastAsia" w:eastAsiaTheme="minorEastAsia" w:cstheme="minorEastAsia"/>
          <w:b/>
          <w:bCs/>
          <w:color w:val="auto"/>
          <w:highlight w:val="none"/>
        </w:rPr>
      </w:pPr>
      <w:bookmarkStart w:id="59" w:name="_Toc397510393"/>
      <w:bookmarkStart w:id="60" w:name="_Toc170115198"/>
      <w:r>
        <w:rPr>
          <w:rFonts w:hint="eastAsia" w:asciiTheme="minorEastAsia" w:hAnsiTheme="minorEastAsia" w:eastAsiaTheme="minorEastAsia" w:cstheme="minorEastAsia"/>
          <w:b/>
          <w:bCs/>
          <w:color w:val="auto"/>
          <w:highlight w:val="none"/>
        </w:rPr>
        <w:t>2.7.4 投标文件的澄清</w:t>
      </w:r>
      <w:bookmarkEnd w:id="59"/>
      <w:bookmarkEnd w:id="60"/>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2.7.4.1 评标过程中，评标委员会可以要求投标人对其投标文件中含义不明确的内容或与招标文件的偏差作必要的澄清或说明。</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2.7.4.2 投标人对澄清的问题需书面答复的，应由投标人法定代表人或其授权代表人签名确认，并作为投标文件的组成部分。</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2.7.4.3 除按照本招标文件2.7.3.1条规定的算术性修正外，投标人的澄清不得修改投标报价或投标文件中的其他实质性内容。</w:t>
      </w:r>
    </w:p>
    <w:p>
      <w:pPr>
        <w:pStyle w:val="9"/>
        <w:keepNext/>
        <w:keepLines/>
        <w:pageBreakBefore w:val="0"/>
        <w:widowControl w:val="0"/>
        <w:kinsoku/>
        <w:wordWrap/>
        <w:overflowPunct/>
        <w:topLinePunct w:val="0"/>
        <w:autoSpaceDE/>
        <w:autoSpaceDN/>
        <w:bidi w:val="0"/>
        <w:adjustRightInd/>
        <w:snapToGrid/>
        <w:spacing w:before="20" w:after="20" w:line="413" w:lineRule="auto"/>
        <w:textAlignment w:val="auto"/>
        <w:rPr>
          <w:rFonts w:hint="eastAsia" w:asciiTheme="minorEastAsia" w:hAnsiTheme="minorEastAsia" w:eastAsiaTheme="minorEastAsia" w:cstheme="minorEastAsia"/>
          <w:b/>
          <w:bCs/>
          <w:color w:val="auto"/>
          <w:sz w:val="21"/>
          <w:szCs w:val="21"/>
          <w:highlight w:val="none"/>
        </w:rPr>
      </w:pPr>
      <w:bookmarkStart w:id="61" w:name="_Toc397510394"/>
      <w:bookmarkStart w:id="62" w:name="_Toc170115199"/>
      <w:r>
        <w:rPr>
          <w:rFonts w:hint="eastAsia" w:asciiTheme="minorEastAsia" w:hAnsiTheme="minorEastAsia" w:eastAsiaTheme="minorEastAsia" w:cstheme="minorEastAsia"/>
          <w:b/>
          <w:bCs/>
          <w:color w:val="auto"/>
          <w:sz w:val="21"/>
          <w:szCs w:val="21"/>
          <w:highlight w:val="none"/>
        </w:rPr>
        <w:t>2.8 中标</w:t>
      </w:r>
      <w:bookmarkEnd w:id="61"/>
      <w:bookmarkEnd w:id="62"/>
    </w:p>
    <w:p>
      <w:pPr>
        <w:spacing w:line="360" w:lineRule="auto"/>
        <w:outlineLvl w:val="2"/>
        <w:rPr>
          <w:rFonts w:hint="eastAsia" w:asciiTheme="minorEastAsia" w:hAnsiTheme="minorEastAsia" w:eastAsiaTheme="minorEastAsia" w:cstheme="minorEastAsia"/>
          <w:b/>
          <w:bCs/>
          <w:color w:val="auto"/>
          <w:highlight w:val="none"/>
        </w:rPr>
      </w:pPr>
      <w:bookmarkStart w:id="63" w:name="_Toc170115200"/>
      <w:bookmarkStart w:id="64" w:name="_Toc397510395"/>
      <w:r>
        <w:rPr>
          <w:rFonts w:hint="eastAsia" w:asciiTheme="minorEastAsia" w:hAnsiTheme="minorEastAsia" w:eastAsiaTheme="minorEastAsia" w:cstheme="minorEastAsia"/>
          <w:b/>
          <w:bCs/>
          <w:color w:val="auto"/>
          <w:highlight w:val="none"/>
        </w:rPr>
        <w:t>2.8.1 中标人的确定</w:t>
      </w:r>
      <w:bookmarkEnd w:id="63"/>
      <w:bookmarkEnd w:id="64"/>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2.8.1.1 招标人根据评标委员会提出的评标报告确定中标人。</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2.8.1.2 招标人不保证投标报价最低的投标人中标，也无义务对未中标的投标人作任何解释和说明。</w:t>
      </w:r>
    </w:p>
    <w:p>
      <w:pPr>
        <w:spacing w:line="360" w:lineRule="auto"/>
        <w:outlineLvl w:val="2"/>
        <w:rPr>
          <w:rFonts w:hint="eastAsia" w:asciiTheme="minorEastAsia" w:hAnsiTheme="minorEastAsia" w:eastAsiaTheme="minorEastAsia" w:cstheme="minorEastAsia"/>
          <w:b/>
          <w:bCs/>
          <w:color w:val="auto"/>
          <w:highlight w:val="none"/>
        </w:rPr>
      </w:pPr>
      <w:bookmarkStart w:id="65" w:name="_Toc397510396"/>
      <w:bookmarkStart w:id="66" w:name="_Toc170115201"/>
      <w:r>
        <w:rPr>
          <w:rFonts w:hint="eastAsia" w:asciiTheme="minorEastAsia" w:hAnsiTheme="minorEastAsia" w:eastAsiaTheme="minorEastAsia" w:cstheme="minorEastAsia"/>
          <w:b/>
          <w:bCs/>
          <w:color w:val="auto"/>
          <w:highlight w:val="none"/>
        </w:rPr>
        <w:t>2.8.2 中标通知</w:t>
      </w:r>
      <w:bookmarkEnd w:id="65"/>
      <w:bookmarkEnd w:id="66"/>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在本须知第2.4.4条规定的投标文件有效期内，招标人应向中标人发出中标通知书，并同时将中标结果通知所有未中标的投标人。</w:t>
      </w:r>
    </w:p>
    <w:p>
      <w:pPr>
        <w:pStyle w:val="9"/>
        <w:spacing w:after="0"/>
        <w:rPr>
          <w:rFonts w:hint="eastAsia" w:asciiTheme="minorEastAsia" w:hAnsiTheme="minorEastAsia" w:eastAsiaTheme="minorEastAsia" w:cstheme="minorEastAsia"/>
          <w:color w:val="auto"/>
          <w:sz w:val="21"/>
          <w:szCs w:val="21"/>
          <w:highlight w:val="none"/>
        </w:rPr>
      </w:pPr>
      <w:bookmarkStart w:id="67" w:name="_Toc170115202"/>
      <w:bookmarkStart w:id="68" w:name="_Toc397510397"/>
      <w:r>
        <w:rPr>
          <w:rFonts w:hint="eastAsia" w:asciiTheme="minorEastAsia" w:hAnsiTheme="minorEastAsia" w:eastAsiaTheme="minorEastAsia" w:cstheme="minorEastAsia"/>
          <w:color w:val="auto"/>
          <w:sz w:val="21"/>
          <w:szCs w:val="21"/>
          <w:highlight w:val="none"/>
        </w:rPr>
        <w:t>2.9 重新招标</w:t>
      </w:r>
      <w:bookmarkEnd w:id="67"/>
      <w:bookmarkEnd w:id="68"/>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有下列情形之一的，招标人将重新招标：</w:t>
      </w:r>
    </w:p>
    <w:p>
      <w:pPr>
        <w:numPr>
          <w:ilvl w:val="0"/>
          <w:numId w:val="3"/>
        </w:numPr>
        <w:spacing w:line="360" w:lineRule="auto"/>
        <w:ind w:left="540"/>
        <w:rPr>
          <w:rFonts w:hint="eastAsia" w:asciiTheme="minorEastAsia" w:hAnsiTheme="minorEastAsia" w:eastAsiaTheme="minorEastAsia" w:cstheme="minorEastAsia"/>
          <w:color w:val="auto"/>
          <w:highlight w:val="none"/>
        </w:rPr>
      </w:pPr>
      <w:bookmarkStart w:id="69" w:name="_Toc397510398"/>
      <w:bookmarkStart w:id="70" w:name="_Toc170115203"/>
      <w:r>
        <w:rPr>
          <w:rFonts w:hint="eastAsia" w:asciiTheme="minorEastAsia" w:hAnsiTheme="minorEastAsia" w:eastAsiaTheme="minorEastAsia" w:cstheme="minorEastAsia"/>
          <w:color w:val="auto"/>
          <w:highlight w:val="none"/>
        </w:rPr>
        <w:t>投标截止时间止，投标人少于 3 个的；</w:t>
      </w:r>
    </w:p>
    <w:p>
      <w:pPr>
        <w:numPr>
          <w:ilvl w:val="0"/>
          <w:numId w:val="3"/>
        </w:numPr>
        <w:spacing w:line="360" w:lineRule="auto"/>
        <w:ind w:left="5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经评标委员会评审后否决所有投标的。</w:t>
      </w:r>
    </w:p>
    <w:p>
      <w:pPr>
        <w:pStyle w:val="9"/>
        <w:spacing w:before="140" w:after="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2.10 履约担保</w:t>
      </w:r>
      <w:bookmarkEnd w:id="69"/>
      <w:bookmarkEnd w:id="70"/>
    </w:p>
    <w:p>
      <w:pPr>
        <w:bidi w:val="0"/>
        <w:ind w:firstLine="1260" w:firstLineChars="600"/>
        <w:rPr>
          <w:rFonts w:hint="eastAsia" w:eastAsia="宋体"/>
          <w:highlight w:val="none"/>
          <w:lang w:eastAsia="zh-CN"/>
        </w:rPr>
      </w:pPr>
      <w:r>
        <w:rPr>
          <w:rFonts w:hint="eastAsia"/>
          <w:highlight w:val="none"/>
          <w:lang w:eastAsia="zh-CN"/>
        </w:rPr>
        <w:t>无</w:t>
      </w:r>
    </w:p>
    <w:p>
      <w:pPr>
        <w:pStyle w:val="9"/>
        <w:rPr>
          <w:rFonts w:hint="eastAsia" w:asciiTheme="minorEastAsia" w:hAnsiTheme="minorEastAsia" w:eastAsiaTheme="minorEastAsia" w:cstheme="minorEastAsia"/>
          <w:color w:val="auto"/>
          <w:sz w:val="21"/>
          <w:szCs w:val="21"/>
          <w:highlight w:val="none"/>
        </w:rPr>
      </w:pPr>
      <w:bookmarkStart w:id="71" w:name="_Toc397510399"/>
      <w:bookmarkStart w:id="72" w:name="_Toc170115204"/>
      <w:r>
        <w:rPr>
          <w:rFonts w:hint="eastAsia" w:asciiTheme="minorEastAsia" w:hAnsiTheme="minorEastAsia" w:eastAsiaTheme="minorEastAsia" w:cstheme="minorEastAsia"/>
          <w:color w:val="auto"/>
          <w:sz w:val="21"/>
          <w:szCs w:val="21"/>
          <w:highlight w:val="none"/>
        </w:rPr>
        <w:t>2.11 签订合同</w:t>
      </w:r>
      <w:bookmarkEnd w:id="71"/>
      <w:bookmarkEnd w:id="72"/>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2.11.1 招标人与中标人自中标通知书发出之日起</w:t>
      </w: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天内，订立书面合同。</w:t>
      </w: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2.11.2 中标人在规定时间内不与招标人签订合同，又无正当理由，招标人可取消其中标资格，并没收投标保证金。在此情况下，招标人可依序与确定的其他中标候选人签订合同。</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2.11.3招标人与中标人签订合同后按国务院令第658号规定向中标人退还投标保证金。</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numPr>
          <w:ilvl w:val="0"/>
          <w:numId w:val="4"/>
        </w:numPr>
        <w:spacing w:line="276" w:lineRule="auto"/>
        <w:jc w:val="center"/>
        <w:rPr>
          <w:rFonts w:hint="eastAsia" w:asciiTheme="minorEastAsia" w:hAnsiTheme="minorEastAsia" w:eastAsiaTheme="minorEastAsia" w:cstheme="minorEastAsia"/>
          <w:b/>
          <w:color w:val="auto"/>
          <w:sz w:val="36"/>
          <w:szCs w:val="28"/>
          <w:highlight w:val="none"/>
        </w:rPr>
      </w:pPr>
      <w:r>
        <w:rPr>
          <w:rFonts w:hint="eastAsia" w:asciiTheme="minorEastAsia" w:hAnsiTheme="minorEastAsia" w:eastAsiaTheme="minorEastAsia" w:cstheme="minorEastAsia"/>
          <w:b/>
          <w:color w:val="auto"/>
          <w:sz w:val="36"/>
          <w:szCs w:val="28"/>
          <w:highlight w:val="none"/>
        </w:rPr>
        <w:t>评标细则</w:t>
      </w:r>
    </w:p>
    <w:p>
      <w:pPr>
        <w:spacing w:line="276" w:lineRule="auto"/>
        <w:rPr>
          <w:rFonts w:hint="eastAsia" w:asciiTheme="minorEastAsia" w:hAnsiTheme="minorEastAsia" w:eastAsiaTheme="minorEastAsia" w:cstheme="minorEastAsia"/>
          <w:b/>
          <w:color w:val="auto"/>
          <w:sz w:val="36"/>
          <w:szCs w:val="28"/>
          <w:highlight w:val="none"/>
        </w:rPr>
      </w:pPr>
    </w:p>
    <w:tbl>
      <w:tblPr>
        <w:tblStyle w:val="47"/>
        <w:tblW w:w="99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621"/>
        <w:gridCol w:w="490"/>
        <w:gridCol w:w="641"/>
        <w:gridCol w:w="1194"/>
        <w:gridCol w:w="559"/>
        <w:gridCol w:w="55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1504"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条款号</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评审因素</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1" w:hRule="atLeast"/>
          <w:jc w:val="center"/>
        </w:trPr>
        <w:tc>
          <w:tcPr>
            <w:tcW w:w="883"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w:t>
            </w:r>
          </w:p>
        </w:tc>
        <w:tc>
          <w:tcPr>
            <w:tcW w:w="621" w:type="dxa"/>
            <w:vMerge w:val="restart"/>
            <w:tcBorders>
              <w:top w:val="single" w:color="auto" w:sz="4" w:space="0"/>
              <w:left w:val="nil"/>
              <w:right w:val="single" w:color="auto" w:sz="4" w:space="0"/>
            </w:tcBorders>
            <w:noWrap w:val="0"/>
            <w:textDirection w:val="tbRlV"/>
            <w:vAlign w:val="top"/>
          </w:tcPr>
          <w:p>
            <w:pPr>
              <w:spacing w:line="360" w:lineRule="exact"/>
              <w:ind w:left="113" w:right="113"/>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1"/>
                <w:highlight w:val="none"/>
              </w:rPr>
              <w:t>形式评审标准</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0" w:hRule="atLeast"/>
          <w:jc w:val="center"/>
        </w:trPr>
        <w:tc>
          <w:tcPr>
            <w:tcW w:w="883" w:type="dxa"/>
            <w:vMerge w:val="continue"/>
            <w:tcBorders>
              <w:top w:val="single" w:color="auto" w:sz="4" w:space="0"/>
              <w:bottom w:val="single" w:color="auto" w:sz="4" w:space="0"/>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621" w:type="dxa"/>
            <w:vMerge w:val="continue"/>
            <w:tcBorders>
              <w:left w:val="nil"/>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投标函签字或盖章</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2" w:hRule="atLeast"/>
          <w:jc w:val="center"/>
        </w:trPr>
        <w:tc>
          <w:tcPr>
            <w:tcW w:w="883" w:type="dxa"/>
            <w:vMerge w:val="continue"/>
            <w:tcBorders>
              <w:top w:val="single" w:color="auto" w:sz="4" w:space="0"/>
              <w:bottom w:val="single" w:color="auto" w:sz="4" w:space="0"/>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621" w:type="dxa"/>
            <w:vMerge w:val="continue"/>
            <w:tcBorders>
              <w:left w:val="nil"/>
              <w:bottom w:val="single" w:color="auto" w:sz="4" w:space="0"/>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投标文件格式</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8" w:hRule="atLeast"/>
          <w:jc w:val="center"/>
        </w:trPr>
        <w:tc>
          <w:tcPr>
            <w:tcW w:w="883" w:type="dxa"/>
            <w:vMerge w:val="continue"/>
            <w:tcBorders>
              <w:top w:val="single" w:color="auto" w:sz="4" w:space="0"/>
              <w:bottom w:val="single" w:color="auto" w:sz="4" w:space="0"/>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621" w:type="dxa"/>
            <w:vMerge w:val="continue"/>
            <w:tcBorders>
              <w:left w:val="nil"/>
              <w:bottom w:val="single" w:color="auto" w:sz="4" w:space="0"/>
              <w:right w:val="single" w:color="auto" w:sz="4" w:space="0"/>
            </w:tcBorders>
            <w:noWrap w:val="0"/>
            <w:vAlign w:val="top"/>
          </w:tcPr>
          <w:p>
            <w:pPr>
              <w:spacing w:line="360" w:lineRule="exact"/>
              <w:jc w:val="left"/>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报价唯一</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8" w:hRule="atLeast"/>
          <w:jc w:val="center"/>
        </w:trPr>
        <w:tc>
          <w:tcPr>
            <w:tcW w:w="883" w:type="dxa"/>
            <w:tcBorders>
              <w:top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w:t>
            </w:r>
          </w:p>
        </w:tc>
        <w:tc>
          <w:tcPr>
            <w:tcW w:w="621" w:type="dxa"/>
            <w:tcBorders>
              <w:top w:val="single" w:color="auto" w:sz="4" w:space="0"/>
              <w:left w:val="single" w:color="auto" w:sz="4" w:space="0"/>
              <w:right w:val="single" w:color="auto" w:sz="4" w:space="0"/>
            </w:tcBorders>
            <w:noWrap w:val="0"/>
            <w:textDirection w:val="tbRlV"/>
            <w:vAlign w:val="top"/>
          </w:tcPr>
          <w:p>
            <w:pPr>
              <w:spacing w:line="360" w:lineRule="exact"/>
              <w:ind w:left="113" w:right="113"/>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资格评审标准</w:t>
            </w:r>
          </w:p>
        </w:tc>
        <w:tc>
          <w:tcPr>
            <w:tcW w:w="8462" w:type="dxa"/>
            <w:gridSpan w:val="5"/>
            <w:tcBorders>
              <w:top w:val="single" w:color="auto" w:sz="4" w:space="0"/>
              <w:left w:val="single" w:color="auto" w:sz="4" w:space="0"/>
              <w:bottom w:val="single" w:color="auto" w:sz="4" w:space="0"/>
            </w:tcBorders>
            <w:noWrap w:val="0"/>
            <w:vAlign w:val="center"/>
          </w:tcPr>
          <w:p>
            <w:pPr>
              <w:spacing w:line="480" w:lineRule="auto"/>
              <w:jc w:val="center"/>
              <w:rPr>
                <w:rFonts w:hint="eastAsia" w:asciiTheme="minorEastAsia" w:hAnsiTheme="minorEastAsia" w:eastAsiaTheme="minorEastAsia" w:cstheme="minorEastAsia"/>
                <w:b/>
                <w:bCs/>
                <w:color w:val="auto"/>
                <w:kern w:val="0"/>
                <w:highlight w:val="none"/>
              </w:rPr>
            </w:pPr>
          </w:p>
          <w:p>
            <w:pPr>
              <w:spacing w:line="480" w:lineRule="auto"/>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符合第二章“投标人须知前附表”第1.9项规定</w:t>
            </w:r>
          </w:p>
          <w:p>
            <w:pPr>
              <w:spacing w:line="480" w:lineRule="auto"/>
              <w:rPr>
                <w:rFonts w:hint="eastAsia" w:asciiTheme="minorEastAsia" w:hAnsiTheme="minorEastAsia" w:eastAsiaTheme="minorEastAsia" w:cstheme="min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1" w:hRule="atLeast"/>
          <w:jc w:val="center"/>
        </w:trPr>
        <w:tc>
          <w:tcPr>
            <w:tcW w:w="883"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w:t>
            </w:r>
          </w:p>
        </w:tc>
        <w:tc>
          <w:tcPr>
            <w:tcW w:w="621" w:type="dxa"/>
            <w:vMerge w:val="restart"/>
            <w:tcBorders>
              <w:top w:val="single" w:color="auto" w:sz="4" w:space="0"/>
              <w:left w:val="single" w:color="auto" w:sz="4" w:space="0"/>
              <w:right w:val="single" w:color="auto" w:sz="4" w:space="0"/>
            </w:tcBorders>
            <w:noWrap w:val="0"/>
            <w:textDirection w:val="tbRlV"/>
            <w:vAlign w:val="center"/>
          </w:tcPr>
          <w:p>
            <w:pPr>
              <w:spacing w:line="360" w:lineRule="exact"/>
              <w:ind w:left="113" w:right="113"/>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响应性评审标准</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工期控制目标</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符合第二章“投标人须知前附表”1.7条款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3" w:hRule="atLeast"/>
          <w:jc w:val="center"/>
        </w:trPr>
        <w:tc>
          <w:tcPr>
            <w:tcW w:w="883"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621" w:type="dxa"/>
            <w:vMerge w:val="continue"/>
            <w:tcBorders>
              <w:left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质量控制目标</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符合第二章“投标人须知前附表”1.8条款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7" w:hRule="atLeast"/>
          <w:jc w:val="center"/>
        </w:trPr>
        <w:tc>
          <w:tcPr>
            <w:tcW w:w="883"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621"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投标有效期</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符合第二章“投标人须知前附表”3.2条款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7" w:hRule="atLeast"/>
          <w:jc w:val="center"/>
        </w:trPr>
        <w:tc>
          <w:tcPr>
            <w:tcW w:w="883"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621"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投标保证金</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符合第二章“投标人须知前附表”3.3条款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条款号</w:t>
            </w:r>
          </w:p>
        </w:tc>
        <w:tc>
          <w:tcPr>
            <w:tcW w:w="294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条款内容</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w:t>
            </w:r>
          </w:p>
        </w:tc>
        <w:tc>
          <w:tcPr>
            <w:tcW w:w="294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highlight w:val="none"/>
              </w:rPr>
              <w:t>分值组成</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（总分100分）</w:t>
            </w:r>
          </w:p>
        </w:tc>
        <w:tc>
          <w:tcPr>
            <w:tcW w:w="6137" w:type="dxa"/>
            <w:gridSpan w:val="2"/>
            <w:tcBorders>
              <w:top w:val="single" w:color="auto" w:sz="4" w:space="0"/>
              <w:left w:val="single" w:color="auto" w:sz="4" w:space="0"/>
              <w:bottom w:val="single" w:color="auto" w:sz="4" w:space="0"/>
            </w:tcBorders>
            <w:noWrap w:val="0"/>
            <w:vAlign w:val="top"/>
          </w:tcPr>
          <w:p>
            <w:pPr>
              <w:spacing w:line="320" w:lineRule="exact"/>
              <w:rPr>
                <w:rFonts w:hint="eastAsia" w:asciiTheme="minorEastAsia" w:hAnsiTheme="minorEastAsia" w:eastAsiaTheme="minorEastAsia" w:cstheme="minorEastAsia"/>
                <w:color w:val="auto"/>
                <w:highlight w:val="none"/>
              </w:rPr>
            </w:pPr>
          </w:p>
          <w:p>
            <w:pPr>
              <w:spacing w:line="32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highlight w:val="none"/>
              </w:rPr>
              <w:t>监</w:t>
            </w:r>
            <w:r>
              <w:rPr>
                <w:rFonts w:hint="eastAsia" w:asciiTheme="minorEastAsia" w:hAnsiTheme="minorEastAsia" w:eastAsiaTheme="minorEastAsia" w:cstheme="minorEastAsia"/>
                <w:color w:val="auto"/>
                <w:sz w:val="4"/>
                <w:highlight w:val="none"/>
              </w:rPr>
              <w:t xml:space="preserve"> </w:t>
            </w:r>
            <w:r>
              <w:rPr>
                <w:rFonts w:hint="eastAsia" w:asciiTheme="minorEastAsia" w:hAnsiTheme="minorEastAsia" w:eastAsiaTheme="minorEastAsia" w:cstheme="minorEastAsia"/>
                <w:color w:val="auto"/>
                <w:highlight w:val="none"/>
              </w:rPr>
              <w:t>理</w:t>
            </w:r>
            <w:r>
              <w:rPr>
                <w:rFonts w:hint="eastAsia" w:asciiTheme="minorEastAsia" w:hAnsiTheme="minorEastAsia" w:eastAsiaTheme="minorEastAsia" w:cstheme="minorEastAsia"/>
                <w:color w:val="auto"/>
                <w:sz w:val="8"/>
                <w:highlight w:val="none"/>
              </w:rPr>
              <w:t xml:space="preserve"> </w:t>
            </w:r>
            <w:r>
              <w:rPr>
                <w:rFonts w:hint="eastAsia" w:asciiTheme="minorEastAsia" w:hAnsiTheme="minorEastAsia" w:eastAsiaTheme="minorEastAsia" w:cstheme="minorEastAsia"/>
                <w:color w:val="auto"/>
                <w:highlight w:val="none"/>
              </w:rPr>
              <w:t>大</w:t>
            </w:r>
            <w:r>
              <w:rPr>
                <w:rFonts w:hint="eastAsia" w:asciiTheme="minorEastAsia" w:hAnsiTheme="minorEastAsia" w:eastAsiaTheme="minorEastAsia" w:cstheme="minorEastAsia"/>
                <w:color w:val="auto"/>
                <w:sz w:val="4"/>
                <w:highlight w:val="none"/>
              </w:rPr>
              <w:t xml:space="preserve"> </w:t>
            </w:r>
            <w:r>
              <w:rPr>
                <w:rFonts w:hint="eastAsia" w:asciiTheme="minorEastAsia" w:hAnsiTheme="minorEastAsia" w:eastAsiaTheme="minorEastAsia" w:cstheme="minorEastAsia"/>
                <w:color w:val="auto"/>
                <w:highlight w:val="none"/>
              </w:rPr>
              <w:t>纲</w:t>
            </w:r>
            <w:r>
              <w:rPr>
                <w:rFonts w:hint="eastAsia" w:asciiTheme="minorEastAsia" w:hAnsiTheme="minorEastAsia" w:eastAsiaTheme="minorEastAsia" w:cstheme="minorEastAsia"/>
                <w:color w:val="auto"/>
                <w:sz w:val="4"/>
                <w:highlight w:val="non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55</w:t>
            </w:r>
            <w:r>
              <w:rPr>
                <w:rFonts w:hint="eastAsia" w:asciiTheme="minorEastAsia" w:hAnsiTheme="minorEastAsia" w:eastAsiaTheme="minorEastAsia" w:cstheme="minorEastAsia"/>
                <w:color w:val="auto"/>
                <w:sz w:val="8"/>
                <w:highlight w:val="none"/>
              </w:rPr>
              <w:t xml:space="preserve"> </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sz w:val="8"/>
                <w:highlight w:val="non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4"/>
                <w:highlight w:val="none"/>
              </w:rPr>
              <w:t xml:space="preserve">                </w:t>
            </w:r>
            <w:r>
              <w:rPr>
                <w:rFonts w:hint="eastAsia" w:asciiTheme="minorEastAsia" w:hAnsiTheme="minorEastAsia" w:eastAsiaTheme="minorEastAsia" w:cstheme="minorEastAsia"/>
                <w:color w:val="auto"/>
                <w:sz w:val="21"/>
                <w:szCs w:val="21"/>
                <w:highlight w:val="none"/>
                <w:lang w:eastAsia="zh-CN"/>
              </w:rPr>
              <w:t>商务部分</w:t>
            </w:r>
            <w:r>
              <w:rPr>
                <w:rFonts w:hint="eastAsia" w:asciiTheme="minorEastAsia" w:hAnsiTheme="minorEastAsia" w:eastAsiaTheme="minorEastAsia" w:cstheme="minorEastAsia"/>
                <w:color w:val="auto"/>
                <w:sz w:val="21"/>
                <w:szCs w:val="21"/>
                <w:highlight w:val="none"/>
              </w:rPr>
              <w:t>：30 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综合部分</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 xml:space="preserve">分；    </w:t>
            </w:r>
            <w:r>
              <w:rPr>
                <w:rFonts w:hint="eastAsia" w:asciiTheme="minorEastAsia" w:hAnsiTheme="minorEastAsia" w:eastAsiaTheme="minorEastAsia" w:cstheme="minorEastAsia"/>
                <w:color w:val="auto"/>
                <w:highlight w:val="none"/>
                <w:lang w:eastAsia="zh-CN"/>
              </w:rPr>
              <w:t>服务承诺</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76" w:hRule="atLeast"/>
          <w:jc w:val="center"/>
        </w:trPr>
        <w:tc>
          <w:tcPr>
            <w:tcW w:w="883" w:type="dxa"/>
            <w:vMerge w:val="restart"/>
            <w:tcBorders>
              <w:top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2.2.2</w:t>
            </w:r>
          </w:p>
        </w:tc>
        <w:tc>
          <w:tcPr>
            <w:tcW w:w="2946" w:type="dxa"/>
            <w:gridSpan w:val="4"/>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评标基准价计算方法</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投标报价在招标控制价的95%-100%之间（含95%、100%）参与评标基准价计算；不在上述范围内的投标报价不参与评标基准价的计算，但仍予以赋分。若所有投标人的投标报价都不在上述范围内的，则以招标控制价的98%为评标基准价。</w:t>
            </w:r>
          </w:p>
          <w:p>
            <w:pPr>
              <w:spacing w:line="32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2、评标基准价=参与评标基准价计算的投标报价的算术平均值×50%+招标控制价×50%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jc w:val="center"/>
        </w:trPr>
        <w:tc>
          <w:tcPr>
            <w:tcW w:w="883" w:type="dxa"/>
            <w:vMerge w:val="continue"/>
            <w:tcBorders>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2946" w:type="dxa"/>
            <w:gridSpan w:val="4"/>
            <w:vMerge w:val="continue"/>
            <w:tcBorders>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Theme="minorEastAsia" w:hAnsiTheme="minorEastAsia" w:eastAsiaTheme="minorEastAsia" w:cstheme="minorEastAsia"/>
                <w:color w:val="auto"/>
                <w:kern w:val="0"/>
                <w:szCs w:val="21"/>
                <w:highlight w:val="none"/>
              </w:rPr>
            </w:pPr>
          </w:p>
        </w:tc>
        <w:tc>
          <w:tcPr>
            <w:tcW w:w="6137" w:type="dxa"/>
            <w:gridSpan w:val="2"/>
            <w:tcBorders>
              <w:top w:val="single" w:color="auto" w:sz="4" w:space="0"/>
              <w:left w:val="single" w:color="auto" w:sz="4" w:space="0"/>
              <w:bottom w:val="single" w:color="auto" w:sz="4" w:space="0"/>
            </w:tcBorders>
            <w:noWrap w:val="0"/>
            <w:vAlign w:val="center"/>
          </w:tcPr>
          <w:p>
            <w:pPr>
              <w:spacing w:line="360" w:lineRule="auto"/>
              <w:ind w:right="-1029" w:rightChars="-49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注：经评标委员会全体认定属于恶意投标报价的，其投标将</w:t>
            </w:r>
          </w:p>
          <w:p>
            <w:pPr>
              <w:spacing w:line="360" w:lineRule="auto"/>
              <w:ind w:right="-1029" w:rightChars="-49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highlight w:val="none"/>
              </w:rPr>
              <w:t>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2.2.3</w:t>
            </w:r>
          </w:p>
        </w:tc>
        <w:tc>
          <w:tcPr>
            <w:tcW w:w="294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1"/>
                <w:highlight w:val="none"/>
              </w:rPr>
              <w:t>投标报价的偏差率计算公式</w:t>
            </w:r>
          </w:p>
        </w:tc>
        <w:tc>
          <w:tcPr>
            <w:tcW w:w="6137" w:type="dxa"/>
            <w:gridSpan w:val="2"/>
            <w:tcBorders>
              <w:top w:val="single" w:color="auto" w:sz="4" w:space="0"/>
              <w:left w:val="single" w:color="auto" w:sz="4" w:space="0"/>
              <w:bottom w:val="single" w:color="auto" w:sz="4" w:space="0"/>
            </w:tcBorders>
            <w:noWrap w:val="0"/>
            <w:vAlign w:val="center"/>
          </w:tcPr>
          <w:p>
            <w:pPr>
              <w:spacing w:line="360" w:lineRule="auto"/>
              <w:ind w:right="-1029" w:rightChars="-4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偏差率= 100% ×（投标报价-评标基准价）/评标基准价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条款号</w:t>
            </w:r>
          </w:p>
        </w:tc>
        <w:tc>
          <w:tcPr>
            <w:tcW w:w="294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条款内容</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5" w:hRule="atLeast"/>
          <w:jc w:val="center"/>
        </w:trPr>
        <w:tc>
          <w:tcPr>
            <w:tcW w:w="883" w:type="dxa"/>
            <w:vMerge w:val="restart"/>
            <w:tcBorders>
              <w:top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2.2.4（1）</w:t>
            </w:r>
          </w:p>
        </w:tc>
        <w:tc>
          <w:tcPr>
            <w:tcW w:w="1111" w:type="dxa"/>
            <w:gridSpan w:val="2"/>
            <w:vMerge w:val="restart"/>
            <w:tcBorders>
              <w:top w:val="single" w:color="auto" w:sz="4" w:space="0"/>
              <w:left w:val="single" w:color="auto" w:sz="4" w:space="0"/>
              <w:right w:val="single" w:color="auto" w:sz="4" w:space="0"/>
            </w:tcBorders>
            <w:noWrap w:val="0"/>
            <w:vAlign w:val="center"/>
          </w:tcPr>
          <w:p>
            <w:pPr>
              <w:widowControl/>
              <w:tabs>
                <w:tab w:val="left" w:pos="1080"/>
              </w:tabs>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监理大纲</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评分标准</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55</w:t>
            </w:r>
            <w:r>
              <w:rPr>
                <w:rFonts w:hint="eastAsia" w:asciiTheme="minorEastAsia" w:hAnsiTheme="minorEastAsia" w:eastAsiaTheme="minorEastAsia" w:cstheme="minorEastAsia"/>
                <w:color w:val="auto"/>
                <w:highlight w:val="none"/>
              </w:rPr>
              <w:t>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保证旁站</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监理措施</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（0-7分）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（1）设置工程旁站监理部位（过程）设置合理，包括各关键部位。（ 0-3分）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（2）旁站监理措施详细。（ 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67"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质量控制的措施和方法（0-1</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（1）有对质量目标的理解和实现质量可行性论述。（0-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（2）事前质量控制措施和方法。（ 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（3）原材料质量控制的措施和方法。（ 0-2分）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（4）事中质量控制措施和方法。（ 0-2 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（5）事后质量控制措施和方法。（ 0-2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0"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进度控制的措施和方法（0-</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（1）有对实现工期目标可行性论述。（ 0- 2分）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（2）有总体施工进度计划图。（ 0-2分）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（3）有进度控制的监理工作内容、程序、方法和措施。（ 0-2 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（4）进度控制的监理工作措施详细，技术措施、组织措施、经济措施、合同措施齐全。（ 0- </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80"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投资控制的措施和方法（0-</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（1）有施工阶段投资控制的监理工作方法和措施；监理措施详细，技术措施、组织措施、经济措施、合同措施齐全。（0- </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（2）有工程变更得管理方法。（ 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（3）有费用索赔的处理方法。（ 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7"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文明、安全管理的措施和方法</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（1）有文明、安全的监理工作方法和措施。（0-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（2）监理措施详细，技术措施、组织措施、经济措施、合同措施齐全。（ 0-</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7"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合同管理、信息管理的措施和方法</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（1）有合同、信息管理的监理工作原则、程序和方法。（0-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（2）合同、信息管理的监理制措施合理齐全、针对性强。（0-</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5" w:hRule="atLeast"/>
          <w:jc w:val="center"/>
        </w:trPr>
        <w:tc>
          <w:tcPr>
            <w:tcW w:w="883" w:type="dxa"/>
            <w:vMerge w:val="continue"/>
            <w:tcBorders>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工作协调的措施和方法</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分）</w:t>
            </w:r>
          </w:p>
        </w:tc>
        <w:tc>
          <w:tcPr>
            <w:tcW w:w="6137" w:type="dxa"/>
            <w:gridSpan w:val="2"/>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（1）有项目工作协调的工作内容、原则和程序。（0-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（2）有项目工作协调的工作方法和措施；监理措施详细，技术措施、组织措施、经济措施、合同措施齐全。（ 0 -3分）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883" w:type="dxa"/>
            <w:vMerge w:val="continue"/>
            <w:tcBorders>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7972" w:type="dxa"/>
            <w:gridSpan w:val="4"/>
            <w:tcBorders>
              <w:top w:val="single" w:color="auto" w:sz="4" w:space="0"/>
              <w:left w:val="single" w:color="auto" w:sz="4" w:space="0"/>
              <w:bottom w:val="single" w:color="auto" w:sz="4" w:space="0"/>
            </w:tcBorders>
            <w:noWrap w:val="0"/>
            <w:vAlign w:val="center"/>
          </w:tcPr>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注：以上如有缺项，则该项为0分。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条款号</w:t>
            </w:r>
          </w:p>
        </w:tc>
        <w:tc>
          <w:tcPr>
            <w:tcW w:w="3505"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量化因素</w:t>
            </w:r>
          </w:p>
        </w:tc>
        <w:tc>
          <w:tcPr>
            <w:tcW w:w="5578"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47"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2.2.4（2）</w:t>
            </w:r>
          </w:p>
        </w:tc>
        <w:tc>
          <w:tcPr>
            <w:tcW w:w="3505"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投标报价（0-30分)</w:t>
            </w:r>
          </w:p>
        </w:tc>
        <w:tc>
          <w:tcPr>
            <w:tcW w:w="5578" w:type="dxa"/>
            <w:tcBorders>
              <w:top w:val="single" w:color="auto" w:sz="4" w:space="0"/>
              <w:left w:val="single" w:color="auto" w:sz="4" w:space="0"/>
              <w:bottom w:val="single" w:color="auto" w:sz="4" w:space="0"/>
            </w:tcBorders>
            <w:noWrap w:val="0"/>
            <w:vAlign w:val="center"/>
          </w:tcPr>
          <w:p>
            <w:pPr>
              <w:spacing w:line="320" w:lineRule="exact"/>
              <w:rPr>
                <w:rFonts w:hint="eastAsia"/>
                <w:color w:val="auto"/>
                <w:highlight w:val="none"/>
              </w:rPr>
            </w:pPr>
            <w:r>
              <w:rPr>
                <w:rFonts w:hint="eastAsia"/>
                <w:highlight w:val="none"/>
              </w:rPr>
              <w:t>以评标基准价为基准，投标人的有效投标报价等于评标基准值的，得基本分25分，每高于评标基准值1%在基本分25分基础上扣1分，该项分值扣完为止；</w:t>
            </w:r>
            <w:r>
              <w:rPr>
                <w:rFonts w:hint="eastAsia"/>
                <w:color w:val="auto"/>
                <w:highlight w:val="none"/>
              </w:rPr>
              <w:t>每低于评标基准值1%在基本分25分的基础上加1分，最多加5分。该项最高分值为30分，最低为0分，不足1%时按比例折扣。</w:t>
            </w:r>
          </w:p>
          <w:p>
            <w:pPr>
              <w:pStyle w:val="28"/>
              <w:rPr>
                <w:rFonts w:hint="eastAsia"/>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条款号</w:t>
            </w:r>
          </w:p>
        </w:tc>
        <w:tc>
          <w:tcPr>
            <w:tcW w:w="3505"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量化因素</w:t>
            </w:r>
          </w:p>
        </w:tc>
        <w:tc>
          <w:tcPr>
            <w:tcW w:w="5578"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83" w:type="dxa"/>
            <w:vMerge w:val="restart"/>
            <w:tcBorders>
              <w:top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2.2.4（3）</w:t>
            </w:r>
          </w:p>
        </w:tc>
        <w:tc>
          <w:tcPr>
            <w:tcW w:w="1752" w:type="dxa"/>
            <w:gridSpan w:val="3"/>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综合部分</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7</w:t>
            </w:r>
            <w:r>
              <w:rPr>
                <w:rFonts w:hint="eastAsia" w:asciiTheme="minorEastAsia" w:hAnsiTheme="minorEastAsia" w:eastAsiaTheme="minorEastAsia" w:cstheme="minorEastAsia"/>
                <w:color w:val="auto"/>
                <w:highlight w:val="none"/>
              </w:rPr>
              <w:t>分)</w:t>
            </w:r>
          </w:p>
        </w:tc>
        <w:tc>
          <w:tcPr>
            <w:tcW w:w="1753" w:type="dxa"/>
            <w:gridSpan w:val="2"/>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企业实力</w:t>
            </w:r>
          </w:p>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tc>
        <w:tc>
          <w:tcPr>
            <w:tcW w:w="5578" w:type="dxa"/>
            <w:tcBorders>
              <w:top w:val="single" w:color="auto" w:sz="4" w:space="0"/>
              <w:left w:val="single" w:color="auto" w:sz="4" w:space="0"/>
              <w:bottom w:val="single" w:color="auto" w:sz="4" w:space="0"/>
            </w:tcBorders>
            <w:noWrap w:val="0"/>
            <w:vAlign w:val="center"/>
          </w:tcPr>
          <w:p>
            <w:pPr>
              <w:spacing w:line="320" w:lineRule="exact"/>
              <w:rPr>
                <w:rFonts w:hint="eastAsia"/>
                <w:highlight w:val="none"/>
                <w:lang w:val="en-US" w:eastAsia="zh-CN"/>
              </w:rPr>
            </w:pPr>
            <w:r>
              <w:rPr>
                <w:rFonts w:hint="eastAsia"/>
                <w:highlight w:val="none"/>
                <w:lang w:val="en-US" w:eastAsia="zh-CN"/>
              </w:rPr>
              <w:t xml:space="preserve"> </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投标人具有AAA信用等级认证得</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spacing w:line="32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以上要求的证书或荣誉，电子投标文件中须附相关证书或荣誉原件的扫描件。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0" w:hRule="atLeast"/>
          <w:jc w:val="center"/>
        </w:trPr>
        <w:tc>
          <w:tcPr>
            <w:tcW w:w="883" w:type="dxa"/>
            <w:vMerge w:val="continue"/>
            <w:tcBorders>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752" w:type="dxa"/>
            <w:gridSpan w:val="3"/>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p>
        </w:tc>
        <w:tc>
          <w:tcPr>
            <w:tcW w:w="175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业绩 （0-</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分)</w:t>
            </w:r>
          </w:p>
        </w:tc>
        <w:tc>
          <w:tcPr>
            <w:tcW w:w="5578" w:type="dxa"/>
            <w:tcBorders>
              <w:top w:val="single" w:color="auto" w:sz="4" w:space="0"/>
              <w:left w:val="single" w:color="auto" w:sz="4" w:space="0"/>
              <w:bottom w:val="single" w:color="auto" w:sz="4" w:space="0"/>
            </w:tcBorders>
            <w:noWrap w:val="0"/>
            <w:vAlign w:val="center"/>
          </w:tcPr>
          <w:p>
            <w:pPr>
              <w:spacing w:line="32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企业 2019年 1 月 1 日以来监理过类似工程监理项目，每有一项得2分，最多得4 分。（时间以合同签订时间为准， 提供合同和中标通知书及中标公示网页截图。）</w:t>
            </w:r>
          </w:p>
          <w:p>
            <w:pPr>
              <w:spacing w:line="320" w:lineRule="exact"/>
              <w:jc w:val="left"/>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jc w:val="center"/>
        </w:trPr>
        <w:tc>
          <w:tcPr>
            <w:tcW w:w="88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条款号</w:t>
            </w:r>
          </w:p>
        </w:tc>
        <w:tc>
          <w:tcPr>
            <w:tcW w:w="3505"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量化因素</w:t>
            </w:r>
          </w:p>
        </w:tc>
        <w:tc>
          <w:tcPr>
            <w:tcW w:w="5578"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62" w:hRule="atLeast"/>
          <w:jc w:val="center"/>
        </w:trPr>
        <w:tc>
          <w:tcPr>
            <w:tcW w:w="883" w:type="dxa"/>
            <w:tcBorders>
              <w:top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2.2.4（4）</w:t>
            </w:r>
          </w:p>
        </w:tc>
        <w:tc>
          <w:tcPr>
            <w:tcW w:w="3505" w:type="dxa"/>
            <w:gridSpan w:val="5"/>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服务承诺</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8</w:t>
            </w:r>
            <w:r>
              <w:rPr>
                <w:rFonts w:hint="eastAsia" w:asciiTheme="minorEastAsia" w:hAnsiTheme="minorEastAsia" w:eastAsiaTheme="minorEastAsia" w:cstheme="minorEastAsia"/>
                <w:color w:val="auto"/>
                <w:highlight w:val="none"/>
              </w:rPr>
              <w:t>分）</w:t>
            </w:r>
          </w:p>
        </w:tc>
        <w:tc>
          <w:tcPr>
            <w:tcW w:w="5578" w:type="dxa"/>
            <w:tcBorders>
              <w:top w:val="single" w:color="auto" w:sz="4" w:space="0"/>
              <w:left w:val="single" w:color="auto" w:sz="4" w:space="0"/>
              <w:bottom w:val="single" w:color="auto" w:sz="4" w:space="0"/>
            </w:tcBorders>
            <w:noWrap w:val="0"/>
            <w:vAlign w:val="center"/>
          </w:tcPr>
          <w:p>
            <w:pPr>
              <w:spacing w:line="320" w:lineRule="exact"/>
              <w:rPr>
                <w:rFonts w:hint="eastAsia"/>
                <w:highlight w:val="none"/>
              </w:rPr>
            </w:pPr>
            <w:r>
              <w:rPr>
                <w:rFonts w:hint="eastAsia"/>
                <w:highlight w:val="none"/>
                <w:lang w:val="en-US" w:eastAsia="zh-CN"/>
              </w:rPr>
              <w:t xml:space="preserve">1、质保期内，质保期外服务的承诺，得 0～2 分； </w:t>
            </w:r>
          </w:p>
          <w:p>
            <w:pPr>
              <w:spacing w:line="320" w:lineRule="exact"/>
              <w:rPr>
                <w:rFonts w:hint="eastAsia"/>
                <w:highlight w:val="none"/>
              </w:rPr>
            </w:pPr>
            <w:r>
              <w:rPr>
                <w:rFonts w:hint="eastAsia"/>
                <w:highlight w:val="none"/>
                <w:lang w:val="en-US" w:eastAsia="zh-CN"/>
              </w:rPr>
              <w:t xml:space="preserve">2、总监理工程师及其他监理人员驻工地的承诺，得 0～2 分； </w:t>
            </w:r>
          </w:p>
          <w:p>
            <w:pPr>
              <w:spacing w:line="320" w:lineRule="exact"/>
              <w:rPr>
                <w:rFonts w:hint="eastAsia"/>
                <w:highlight w:val="none"/>
              </w:rPr>
            </w:pPr>
            <w:r>
              <w:rPr>
                <w:rFonts w:hint="eastAsia"/>
                <w:highlight w:val="none"/>
                <w:lang w:val="en-US" w:eastAsia="zh-CN"/>
              </w:rPr>
              <w:t xml:space="preserve">3、其他监理优惠及服务承诺，得 0～2 分 </w:t>
            </w:r>
          </w:p>
          <w:p>
            <w:pPr>
              <w:tabs>
                <w:tab w:val="left" w:pos="-22"/>
              </w:tabs>
              <w:snapToGrid w:val="0"/>
              <w:spacing w:line="320" w:lineRule="exact"/>
              <w:rPr>
                <w:rFonts w:hint="eastAsia" w:asciiTheme="minorEastAsia" w:hAnsiTheme="minorEastAsia" w:eastAsiaTheme="minorEastAsia" w:cstheme="minorEastAsia"/>
                <w:color w:val="auto"/>
                <w:highlight w:val="none"/>
              </w:rPr>
            </w:pPr>
            <w:r>
              <w:rPr>
                <w:rFonts w:hint="eastAsia"/>
                <w:highlight w:val="none"/>
                <w:lang w:val="en-US" w:eastAsia="zh-CN"/>
              </w:rPr>
              <w:t xml:space="preserve">4、评委对所有投标人提供的实质性优惠条款和服务承诺的内容进行综合评定，从低到高排名，按比例在 0—2 分之间打分。 </w:t>
            </w:r>
          </w:p>
        </w:tc>
      </w:tr>
    </w:tbl>
    <w:p>
      <w:pPr>
        <w:spacing w:line="400" w:lineRule="exact"/>
        <w:jc w:val="left"/>
        <w:rPr>
          <w:rFonts w:hint="eastAsia" w:asciiTheme="minorEastAsia" w:hAnsiTheme="minorEastAsia" w:eastAsiaTheme="minorEastAsia" w:cstheme="minorEastAsia"/>
          <w:b/>
          <w:bCs/>
          <w:color w:val="auto"/>
          <w:highlight w:val="none"/>
        </w:rPr>
      </w:pPr>
      <w:bookmarkStart w:id="73" w:name="_Toc397510400"/>
      <w:bookmarkStart w:id="74" w:name="_Toc170115205"/>
      <w:bookmarkStart w:id="75" w:name="_Toc472594390"/>
      <w:r>
        <w:rPr>
          <w:rFonts w:hint="eastAsia" w:asciiTheme="minorEastAsia" w:hAnsiTheme="minorEastAsia" w:eastAsiaTheme="minorEastAsia" w:cstheme="minorEastAsia"/>
          <w:b/>
          <w:bCs/>
          <w:color w:val="auto"/>
          <w:highlight w:val="none"/>
        </w:rPr>
        <w:t>注：1、本办法中评审时核查投标文件中所附原件的图片（或扫描件），所提供证明材料不全、有改动痕迹的不予计分。</w:t>
      </w:r>
    </w:p>
    <w:p>
      <w:pPr>
        <w:spacing w:line="400" w:lineRule="exact"/>
        <w:ind w:firstLine="422" w:firstLineChars="200"/>
        <w:jc w:val="left"/>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本评标办法中与本招标文件中其他处内容不一致时，以本评标办法为准，若本评标办法前附表与评标办法正文、附件不一致时以前附表为准，本评标办法中总分值与分项分值不一致时，以分项分值为准（明显有误的除外）。</w:t>
      </w:r>
    </w:p>
    <w:p>
      <w:pPr>
        <w:spacing w:line="400" w:lineRule="exact"/>
        <w:ind w:left="46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评标方法</w:t>
      </w:r>
    </w:p>
    <w:p>
      <w:pPr>
        <w:spacing w:line="400" w:lineRule="exact"/>
        <w:ind w:left="210" w:leftChars="100" w:firstLine="210" w:firstLineChars="1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款规定的评分标准进行打分，并按得分由高到低顺序推荐中标候选人，但投标报价低于其成本的除外。综合评分相等时，以投标报价低的优先；投标报价也相等的，由招标人自行确定。</w:t>
      </w:r>
    </w:p>
    <w:p>
      <w:pPr>
        <w:spacing w:line="400" w:lineRule="exact"/>
        <w:jc w:val="left"/>
        <w:rPr>
          <w:rFonts w:hint="eastAsia" w:asciiTheme="minorEastAsia" w:hAnsiTheme="minorEastAsia" w:eastAsiaTheme="minorEastAsia" w:cstheme="minorEastAsia"/>
          <w:color w:val="auto"/>
          <w:highlight w:val="none"/>
        </w:rPr>
        <w:sectPr>
          <w:footerReference r:id="rId9" w:type="default"/>
          <w:pgSz w:w="11900" w:h="16840"/>
          <w:pgMar w:top="1440" w:right="1080" w:bottom="1440" w:left="1080" w:header="720" w:footer="720" w:gutter="0"/>
          <w:pgNumType w:fmt="decimal"/>
          <w:cols w:space="720" w:num="1"/>
        </w:sectPr>
      </w:pP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2.评审标准</w:t>
      </w:r>
    </w:p>
    <w:p>
      <w:pPr>
        <w:spacing w:line="400" w:lineRule="exact"/>
        <w:jc w:val="left"/>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space="720" w:num="1"/>
        </w:sectPr>
      </w:pP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column"/>
      </w:r>
      <w:r>
        <w:rPr>
          <w:rFonts w:hint="eastAsia" w:asciiTheme="minorEastAsia" w:hAnsiTheme="minorEastAsia" w:eastAsiaTheme="minorEastAsia" w:cstheme="minorEastAsia"/>
          <w:color w:val="auto"/>
          <w:highlight w:val="none"/>
        </w:rPr>
        <w:t>初步评审标准</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 形式评审标准：见评标办法前附表。</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 资格评审标准：见评标办法前附表。</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 响应性评审标准：见评标办法前附表。</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 分值构成与评分标准</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 分值构成</w:t>
      </w:r>
    </w:p>
    <w:p>
      <w:pPr>
        <w:spacing w:line="400" w:lineRule="exact"/>
        <w:ind w:left="1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（1）监理大纲：见评标办法前附表；</w:t>
      </w:r>
    </w:p>
    <w:p>
      <w:pPr>
        <w:spacing w:line="400" w:lineRule="exact"/>
        <w:ind w:left="1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（2）投标报价：见评标办法前附表；</w:t>
      </w:r>
    </w:p>
    <w:p>
      <w:pPr>
        <w:spacing w:line="400" w:lineRule="exact"/>
        <w:ind w:left="1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企业实力</w:t>
      </w:r>
      <w:r>
        <w:rPr>
          <w:rFonts w:hint="eastAsia" w:asciiTheme="minorEastAsia" w:hAnsiTheme="minorEastAsia" w:eastAsiaTheme="minorEastAsia" w:cstheme="minorEastAsia"/>
          <w:color w:val="auto"/>
          <w:highlight w:val="none"/>
        </w:rPr>
        <w:t>及业绩：见评标办法前附表；</w:t>
      </w:r>
    </w:p>
    <w:p>
      <w:pPr>
        <w:spacing w:line="400" w:lineRule="exact"/>
        <w:ind w:left="1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（4）其他评分因素：见评标办法前附表。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2.2.2 评标基准价计算方法：见评标办法前附表。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2.2.3投标报价的偏差率计算</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投标报价的偏差率计算公式：见评标办法前附表。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 评分标准</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（1）监理大纲：见评标办法前附表；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（2）投标报价：见评标办法前附表；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企业实力</w:t>
      </w:r>
      <w:r>
        <w:rPr>
          <w:rFonts w:hint="eastAsia" w:asciiTheme="minorEastAsia" w:hAnsiTheme="minorEastAsia" w:eastAsiaTheme="minorEastAsia" w:cstheme="minorEastAsia"/>
          <w:color w:val="auto"/>
          <w:highlight w:val="none"/>
        </w:rPr>
        <w:t>及业绩：见评标办法前附表；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（4）其他评分因素：见评标办法前附表。</w:t>
      </w:r>
    </w:p>
    <w:p>
      <w:pPr>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equalWidth="0" w:num="2">
            <w:col w:w="1120" w:space="20"/>
            <w:col w:w="8600"/>
          </w:cols>
        </w:sectPr>
      </w:pPr>
    </w:p>
    <w:p>
      <w:pPr>
        <w:spacing w:line="400" w:lineRule="exact"/>
        <w:jc w:val="left"/>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space="720" w:num="1"/>
        </w:sectPr>
      </w:pPr>
      <w:r>
        <w:rPr>
          <w:rFonts w:hint="eastAsia" w:asciiTheme="minorEastAsia" w:hAnsiTheme="minorEastAsia" w:eastAsiaTheme="minorEastAsia" w:cstheme="minorEastAsia"/>
          <w:color w:val="auto"/>
          <w:highlight w:val="none"/>
        </w:rPr>
        <w:t>3.评审程序</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column"/>
      </w:r>
      <w:r>
        <w:rPr>
          <w:rFonts w:hint="eastAsia" w:asciiTheme="minorEastAsia" w:hAnsiTheme="minorEastAsia" w:eastAsiaTheme="minorEastAsia" w:cstheme="minorEastAsia"/>
          <w:color w:val="auto"/>
          <w:highlight w:val="none"/>
        </w:rPr>
        <w:t>初步评审</w:t>
      </w:r>
    </w:p>
    <w:p>
      <w:pPr>
        <w:spacing w:line="400" w:lineRule="exact"/>
        <w:jc w:val="left"/>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equalWidth="0" w:num="2">
            <w:col w:w="1120" w:space="20"/>
            <w:col w:w="8600"/>
          </w:cols>
        </w:sectPr>
      </w:pPr>
      <w:r>
        <w:rPr>
          <w:rFonts w:hint="eastAsia" w:asciiTheme="minorEastAsia" w:hAnsiTheme="minorEastAsia" w:eastAsiaTheme="minorEastAsia" w:cstheme="minorEastAsia"/>
          <w:color w:val="auto"/>
          <w:highlight w:val="none"/>
        </w:rPr>
        <w:t>3.1.1 评标委员会可以要求投标人提交第二章“投标人须知”第2.1.2项规定的有关证明和</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证件的原件，以便核验。评标委员会依据本章第2.1 款规定的标准对投标文件进行初步评审。</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有一项不符合评审标准的，作废标处理。</w:t>
      </w:r>
    </w:p>
    <w:p>
      <w:pPr>
        <w:spacing w:line="400" w:lineRule="exact"/>
        <w:ind w:left="420" w:firstLine="420" w:firstLineChars="2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3.1.2 投标人有以下情形之一的，其投标作废标处理：</w:t>
      </w:r>
    </w:p>
    <w:p>
      <w:pPr>
        <w:spacing w:line="400" w:lineRule="exact"/>
        <w:ind w:left="6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（1）第二章“投标人须知”第2.1.3项规定的任何一种情形的；</w:t>
      </w:r>
    </w:p>
    <w:p>
      <w:pPr>
        <w:spacing w:line="400" w:lineRule="exact"/>
        <w:ind w:left="6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（2）串通投标或弄虚作假或有其他违法行为的；</w:t>
      </w:r>
    </w:p>
    <w:p>
      <w:pPr>
        <w:spacing w:line="400" w:lineRule="exact"/>
        <w:ind w:left="6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（3）不按评标委员会要求澄清、说明或补正的；</w:t>
      </w:r>
    </w:p>
    <w:p>
      <w:pPr>
        <w:spacing w:line="400" w:lineRule="exact"/>
        <w:ind w:left="6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（4）其它未响应招标文件实质性要求的。</w:t>
      </w:r>
    </w:p>
    <w:p>
      <w:pPr>
        <w:spacing w:line="400" w:lineRule="exact"/>
        <w:ind w:left="420" w:firstLine="420" w:firstLineChars="20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 投标报价有算术错误的，评标委员会按以下原则对投标报价进行修正，修正的价格</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经投标人书面确认后具有约束力。投标人不接受修正价格的，其投标作废标处理。</w:t>
      </w:r>
    </w:p>
    <w:p>
      <w:pPr>
        <w:spacing w:line="400" w:lineRule="exact"/>
        <w:ind w:left="620"/>
        <w:jc w:val="left"/>
        <w:rPr>
          <w:rFonts w:hint="eastAsia" w:asciiTheme="minorEastAsia" w:hAnsiTheme="minorEastAsia" w:eastAsiaTheme="minorEastAsia" w:cstheme="minorEastAsia"/>
          <w:color w:val="auto"/>
          <w:highlight w:val="none"/>
        </w:rPr>
      </w:pPr>
      <w:bookmarkStart w:id="76" w:name="_Toc152042383"/>
      <w:r>
        <w:rPr>
          <w:rFonts w:hint="eastAsia" w:asciiTheme="minorEastAsia" w:hAnsiTheme="minorEastAsia" w:eastAsiaTheme="minorEastAsia" w:cstheme="minorEastAsia"/>
          <w:color w:val="auto"/>
          <w:highlight w:val="none"/>
        </w:rPr>
        <w:t>（1）投标文件中的大写金额与小写金额不一致的，以大写金额为准；</w:t>
      </w:r>
      <w:bookmarkEnd w:id="76"/>
    </w:p>
    <w:p>
      <w:pPr>
        <w:spacing w:line="400" w:lineRule="exact"/>
        <w:ind w:left="620"/>
        <w:jc w:val="left"/>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space="720" w:num="1"/>
        </w:sectPr>
      </w:pPr>
      <w:r>
        <w:rPr>
          <w:rFonts w:hint="eastAsia" w:asciiTheme="minorEastAsia" w:hAnsiTheme="minorEastAsia" w:eastAsiaTheme="minorEastAsia" w:cstheme="minorEastAsia"/>
          <w:color w:val="auto"/>
          <w:highlight w:val="none"/>
        </w:rPr>
        <w:t>（2）总价金额与依据单价计算出的结果不一致的，以单价金额为准修正总价，但单价金额小数点有明显错误的除外。</w:t>
      </w:r>
    </w:p>
    <w:p>
      <w:pPr>
        <w:spacing w:line="400" w:lineRule="exact"/>
        <w:jc w:val="left"/>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equalWidth="0" w:num="3">
            <w:col w:w="1120" w:space="20"/>
            <w:col w:w="2920" w:space="20"/>
            <w:col w:w="5660"/>
          </w:cols>
        </w:sectPr>
      </w:pPr>
      <w:r>
        <w:rPr>
          <w:rFonts w:hint="eastAsia" w:asciiTheme="minorEastAsia" w:hAnsiTheme="minorEastAsia" w:eastAsiaTheme="minorEastAsia" w:cstheme="minorEastAsia"/>
          <w:color w:val="auto"/>
          <w:highlight w:val="none"/>
        </w:rPr>
        <w:t>3.2详细评审评标委员会按本章第2.2款规定的量化因素和分值进行打分，并计算出综合评估得分。</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（1）按本章第2.2.4（1）规定的评审因素和分值对监理大纲计算出得分A；</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（2）按本章第2.2.4（2）规定的评审因素和分值对投标报价计算出得分B；</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（3）按本章第2.2.4（3）规定的评审因素和分值对</w:t>
      </w:r>
      <w:r>
        <w:rPr>
          <w:rFonts w:hint="eastAsia" w:asciiTheme="minorEastAsia" w:hAnsiTheme="minorEastAsia" w:eastAsiaTheme="minorEastAsia" w:cstheme="minorEastAsia"/>
          <w:color w:val="auto"/>
          <w:highlight w:val="none"/>
          <w:lang w:eastAsia="zh-CN"/>
        </w:rPr>
        <w:t>企业实力</w:t>
      </w:r>
      <w:r>
        <w:rPr>
          <w:rFonts w:hint="eastAsia" w:asciiTheme="minorEastAsia" w:hAnsiTheme="minorEastAsia" w:eastAsiaTheme="minorEastAsia" w:cstheme="minorEastAsia"/>
          <w:color w:val="auto"/>
          <w:highlight w:val="none"/>
        </w:rPr>
        <w:t>及业绩计算出得分C；</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（4）按本章第2.2.4（4）规定的评审因素和分值对其他评分因素计算出得分D；</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3.2.2 评分分值计算保留小数点后两位，小数点后第三位“四舍五入”。</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3.2.3 投标人得分=各评委对各投标人的得分之和（A+B+C+D）/评委人数。</w:t>
      </w:r>
    </w:p>
    <w:p>
      <w:pPr>
        <w:spacing w:line="40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8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 投标文件的澄清和补正</w:t>
      </w:r>
    </w:p>
    <w:p>
      <w:pPr>
        <w:spacing w:line="380" w:lineRule="exact"/>
        <w:ind w:left="4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80" w:lineRule="exact"/>
        <w:ind w:left="4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3.3.2 澄清、说明和补正不得改变投标文件的实质性内容（算术性错误修正的除外）。投标人的书面澄清、说明和补正属于投标文件的组成部分。</w:t>
      </w:r>
    </w:p>
    <w:p>
      <w:pPr>
        <w:spacing w:line="380" w:lineRule="exact"/>
        <w:ind w:left="4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3.3.3 评标委员会对投标人提交的澄清、说明或补正有疑问的，可以要求投标人进一步澄清、说明或补正，直至满足评标委员会的要求。</w:t>
      </w:r>
    </w:p>
    <w:p>
      <w:pPr>
        <w:spacing w:line="380" w:lineRule="exact"/>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 评标结果</w:t>
      </w:r>
    </w:p>
    <w:p>
      <w:pPr>
        <w:pageBreakBefore w:val="0"/>
        <w:widowControl w:val="0"/>
        <w:kinsoku/>
        <w:wordWrap/>
        <w:topLinePunct w:val="0"/>
        <w:bidi w:val="0"/>
        <w:snapToGrid/>
        <w:spacing w:line="420" w:lineRule="exact"/>
        <w:ind w:firstLine="630" w:firstLineChars="3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3.4.1 </w:t>
      </w:r>
      <w:r>
        <w:rPr>
          <w:rFonts w:hint="eastAsia" w:ascii="宋体" w:hAnsi="宋体" w:eastAsia="宋体" w:cs="宋体"/>
          <w:color w:val="auto"/>
          <w:highlight w:val="none"/>
        </w:rPr>
        <w:t>除第二章“投标人须知”前附表授权直接确定中标人外，评标委员会按照得分由高到低的顺序推荐3名中标候选人。</w:t>
      </w:r>
    </w:p>
    <w:p>
      <w:pPr>
        <w:spacing w:line="380" w:lineRule="exact"/>
        <w:ind w:left="420"/>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3.4.2 评标委员会完成评标后，应当向招标人提交书面评标报告。</w:t>
      </w:r>
    </w:p>
    <w:p>
      <w:pPr>
        <w:spacing w:line="360" w:lineRule="auto"/>
        <w:rPr>
          <w:rFonts w:hint="eastAsia" w:asciiTheme="minorEastAsia" w:hAnsiTheme="minorEastAsia" w:eastAsiaTheme="minorEastAsia" w:cstheme="minorEastAsia"/>
          <w:color w:val="auto"/>
          <w:highlight w:val="none"/>
        </w:rPr>
      </w:pPr>
    </w:p>
    <w:p>
      <w:pPr>
        <w:spacing w:line="360" w:lineRule="auto"/>
        <w:rPr>
          <w:rFonts w:hint="eastAsia" w:asciiTheme="minorEastAsia" w:hAnsiTheme="minorEastAsia" w:eastAsiaTheme="minorEastAsia" w:cstheme="minorEastAsia"/>
          <w:color w:val="auto"/>
          <w:highlight w:val="none"/>
        </w:rPr>
        <w:sectPr>
          <w:type w:val="continuous"/>
          <w:pgSz w:w="11900" w:h="16840"/>
          <w:pgMar w:top="1440" w:right="1080" w:bottom="1440" w:left="1080" w:header="720" w:footer="720" w:gutter="0"/>
          <w:pgNumType w:fmt="decimal"/>
          <w:cols w:space="720" w:num="1"/>
        </w:sectPr>
      </w:pPr>
    </w:p>
    <w:p>
      <w:pPr>
        <w:numPr>
          <w:ilvl w:val="0"/>
          <w:numId w:val="4"/>
        </w:numPr>
        <w:spacing w:line="276" w:lineRule="auto"/>
        <w:jc w:val="center"/>
        <w:rPr>
          <w:rFonts w:hint="eastAsia" w:asciiTheme="minorEastAsia" w:hAnsiTheme="minorEastAsia" w:eastAsiaTheme="minorEastAsia" w:cstheme="minorEastAsia"/>
          <w:b/>
          <w:color w:val="auto"/>
          <w:sz w:val="36"/>
          <w:szCs w:val="28"/>
          <w:highlight w:val="none"/>
        </w:rPr>
      </w:pPr>
      <w:r>
        <w:rPr>
          <w:rFonts w:hint="eastAsia" w:asciiTheme="minorEastAsia" w:hAnsiTheme="minorEastAsia" w:eastAsiaTheme="minorEastAsia" w:cstheme="minorEastAsia"/>
          <w:b/>
          <w:color w:val="auto"/>
          <w:sz w:val="36"/>
          <w:szCs w:val="28"/>
          <w:highlight w:val="none"/>
        </w:rPr>
        <w:t>合同文件</w:t>
      </w:r>
      <w:bookmarkEnd w:id="73"/>
      <w:bookmarkEnd w:id="74"/>
      <w:bookmarkEnd w:id="75"/>
      <w:bookmarkStart w:id="77" w:name="_Toc441077025"/>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（本合同仅供参考、具体合同格式按国家现行规范、标准执行，以双方协商为准）</w:t>
      </w:r>
    </w:p>
    <w:p>
      <w:pPr>
        <w:spacing w:line="360" w:lineRule="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sz w:val="32"/>
          <w:szCs w:val="32"/>
          <w:highlight w:val="none"/>
        </w:rPr>
        <w:t>（ＧＦ－2012－0202）</w:t>
      </w:r>
    </w:p>
    <w:p>
      <w:pPr>
        <w:spacing w:line="360" w:lineRule="auto"/>
        <w:jc w:val="both"/>
        <w:rPr>
          <w:rFonts w:hint="eastAsia" w:asciiTheme="minorEastAsia" w:hAnsiTheme="minorEastAsia" w:eastAsiaTheme="minorEastAsia" w:cstheme="minorEastAsia"/>
          <w:b/>
          <w:bCs/>
          <w:sz w:val="48"/>
          <w:szCs w:val="48"/>
          <w:highlight w:val="none"/>
        </w:rPr>
      </w:pPr>
    </w:p>
    <w:p>
      <w:pPr>
        <w:spacing w:line="360" w:lineRule="auto"/>
        <w:jc w:val="center"/>
        <w:rPr>
          <w:rFonts w:hint="eastAsia" w:asciiTheme="minorEastAsia" w:hAnsiTheme="minorEastAsia" w:eastAsiaTheme="minorEastAsia" w:cstheme="minorEastAsia"/>
          <w:b/>
          <w:bCs/>
          <w:sz w:val="48"/>
          <w:szCs w:val="48"/>
          <w:highlight w:val="none"/>
        </w:rPr>
      </w:pPr>
    </w:p>
    <w:p>
      <w:pPr>
        <w:spacing w:line="360" w:lineRule="auto"/>
        <w:jc w:val="center"/>
        <w:rPr>
          <w:rFonts w:hint="eastAsia" w:asciiTheme="minorEastAsia" w:hAnsiTheme="minorEastAsia" w:eastAsiaTheme="minorEastAsia" w:cstheme="minorEastAsia"/>
          <w:b/>
          <w:bCs/>
          <w:sz w:val="52"/>
          <w:szCs w:val="52"/>
          <w:highlight w:val="none"/>
        </w:rPr>
      </w:pPr>
      <w:r>
        <w:rPr>
          <w:rFonts w:hint="eastAsia" w:asciiTheme="minorEastAsia" w:hAnsiTheme="minorEastAsia" w:eastAsiaTheme="minorEastAsia" w:cstheme="minorEastAsia"/>
          <w:b/>
          <w:bCs/>
          <w:sz w:val="52"/>
          <w:szCs w:val="52"/>
          <w:highlight w:val="none"/>
        </w:rPr>
        <w:t>建设工程监理合同</w:t>
      </w:r>
    </w:p>
    <w:p>
      <w:pPr>
        <w:spacing w:line="360" w:lineRule="auto"/>
        <w:jc w:val="center"/>
        <w:rPr>
          <w:rFonts w:hint="eastAsia" w:asciiTheme="minorEastAsia" w:hAnsiTheme="minorEastAsia" w:eastAsiaTheme="minorEastAsia" w:cstheme="minorEastAsia"/>
          <w:b/>
          <w:bCs/>
          <w:sz w:val="52"/>
          <w:szCs w:val="52"/>
          <w:highlight w:val="none"/>
        </w:rPr>
      </w:pPr>
      <w:r>
        <w:rPr>
          <w:rFonts w:hint="eastAsia" w:asciiTheme="minorEastAsia" w:hAnsiTheme="minorEastAsia" w:eastAsiaTheme="minorEastAsia" w:cstheme="minorEastAsia"/>
          <w:b/>
          <w:bCs/>
          <w:sz w:val="52"/>
          <w:szCs w:val="52"/>
          <w:highlight w:val="none"/>
          <w:lang w:eastAsia="zh-CN"/>
        </w:rPr>
        <w:t>（</w:t>
      </w:r>
      <w:r>
        <w:rPr>
          <w:rFonts w:hint="eastAsia" w:asciiTheme="minorEastAsia" w:hAnsiTheme="minorEastAsia" w:eastAsiaTheme="minorEastAsia" w:cstheme="minorEastAsia"/>
          <w:b/>
          <w:bCs/>
          <w:sz w:val="52"/>
          <w:szCs w:val="52"/>
          <w:highlight w:val="none"/>
        </w:rPr>
        <w:t>示范文本</w:t>
      </w:r>
      <w:r>
        <w:rPr>
          <w:rFonts w:hint="eastAsia" w:asciiTheme="minorEastAsia" w:hAnsiTheme="minorEastAsia" w:eastAsiaTheme="minorEastAsia" w:cstheme="minorEastAsia"/>
          <w:b/>
          <w:bCs/>
          <w:sz w:val="52"/>
          <w:szCs w:val="52"/>
          <w:highlight w:val="none"/>
          <w:lang w:eastAsia="zh-CN"/>
        </w:rPr>
        <w:t>）</w:t>
      </w:r>
    </w:p>
    <w:p>
      <w:pPr>
        <w:spacing w:line="360" w:lineRule="auto"/>
        <w:jc w:val="center"/>
        <w:rPr>
          <w:rFonts w:hint="eastAsia" w:asciiTheme="minorEastAsia" w:hAnsiTheme="minorEastAsia" w:eastAsiaTheme="minorEastAsia" w:cstheme="minorEastAsia"/>
          <w:bCs/>
          <w:sz w:val="48"/>
          <w:szCs w:val="48"/>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rPr>
          <w:rFonts w:hint="eastAsia" w:asciiTheme="minorEastAsia" w:hAnsiTheme="minorEastAsia" w:eastAsiaTheme="minorEastAsia" w:cstheme="minorEastAsia"/>
          <w:b/>
          <w:bCs/>
          <w:sz w:val="24"/>
          <w:highlight w:val="none"/>
        </w:rPr>
      </w:pPr>
    </w:p>
    <w:p>
      <w:pPr>
        <w:spacing w:line="360" w:lineRule="auto"/>
        <w:rPr>
          <w:rFonts w:hint="eastAsia" w:asciiTheme="minorEastAsia" w:hAnsiTheme="minorEastAsia" w:eastAsiaTheme="minorEastAsia" w:cstheme="minorEastAsia"/>
          <w:b/>
          <w:bCs/>
          <w:sz w:val="24"/>
          <w:highlight w:val="none"/>
        </w:rPr>
      </w:pPr>
    </w:p>
    <w:p>
      <w:pPr>
        <w:spacing w:line="360" w:lineRule="auto"/>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bCs/>
          <w:sz w:val="32"/>
          <w:szCs w:val="32"/>
          <w:highlight w:val="none"/>
        </w:rPr>
        <w:t xml:space="preserve">  住房和城乡建设部</w:t>
      </w:r>
    </w:p>
    <w:p>
      <w:pPr>
        <w:spacing w:line="360" w:lineRule="auto"/>
        <w:jc w:val="center"/>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highlight w:val="none"/>
        </w:rPr>
        <w:t xml:space="preserve">                                                          </w:t>
      </w:r>
      <w:r>
        <w:rPr>
          <w:rFonts w:hint="eastAsia" w:asciiTheme="minorEastAsia" w:hAnsiTheme="minorEastAsia" w:eastAsiaTheme="minorEastAsia" w:cstheme="minorEastAsia"/>
          <w:b/>
          <w:sz w:val="32"/>
          <w:szCs w:val="32"/>
          <w:highlight w:val="none"/>
        </w:rPr>
        <w:t>制定</w:t>
      </w:r>
    </w:p>
    <w:p>
      <w:pPr>
        <w:spacing w:line="360" w:lineRule="auto"/>
        <w:jc w:val="center"/>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bCs/>
          <w:sz w:val="32"/>
          <w:szCs w:val="32"/>
          <w:highlight w:val="none"/>
        </w:rPr>
        <w:t xml:space="preserve">   国家工商行政管理总局</w:t>
      </w:r>
    </w:p>
    <w:p>
      <w:pPr>
        <w:spacing w:line="360" w:lineRule="auto"/>
        <w:jc w:val="center"/>
        <w:rPr>
          <w:rFonts w:hint="eastAsia" w:asciiTheme="minorEastAsia" w:hAnsiTheme="minorEastAsia" w:eastAsiaTheme="minorEastAsia" w:cstheme="minorEastAsia"/>
          <w:b/>
          <w:bCs/>
          <w:sz w:val="24"/>
          <w:highlight w:val="none"/>
        </w:rPr>
      </w:pPr>
    </w:p>
    <w:p>
      <w:pPr>
        <w:spacing w:line="360" w:lineRule="auto"/>
        <w:jc w:val="center"/>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 xml:space="preserve"> </w:t>
      </w:r>
    </w:p>
    <w:p>
      <w:pPr>
        <w:tabs>
          <w:tab w:val="left" w:pos="3120"/>
        </w:tabs>
        <w:spacing w:line="360" w:lineRule="auto"/>
        <w:ind w:left="0" w:leftChars="0" w:right="0" w:rightChars="0" w:firstLine="0" w:firstLineChars="0"/>
        <w:jc w:val="center"/>
        <w:rPr>
          <w:rFonts w:hint="eastAsia" w:asciiTheme="minorEastAsia" w:hAnsiTheme="minorEastAsia" w:eastAsiaTheme="minorEastAsia" w:cstheme="minorEastAsia"/>
          <w:b/>
          <w:bCs/>
          <w:sz w:val="24"/>
          <w:szCs w:val="44"/>
          <w:highlight w:val="none"/>
        </w:rPr>
      </w:pPr>
      <w:r>
        <w:rPr>
          <w:rFonts w:hint="eastAsia" w:asciiTheme="minorEastAsia" w:hAnsiTheme="minorEastAsia" w:eastAsiaTheme="minorEastAsia" w:cstheme="minorEastAsia"/>
          <w:b/>
          <w:bCs/>
          <w:sz w:val="32"/>
          <w:szCs w:val="44"/>
          <w:highlight w:val="none"/>
        </w:rPr>
        <w:t>第一部分  协议书</w:t>
      </w:r>
    </w:p>
    <w:p>
      <w:pPr>
        <w:tabs>
          <w:tab w:val="left" w:pos="3120"/>
        </w:tabs>
        <w:spacing w:line="360" w:lineRule="auto"/>
        <w:ind w:firstLine="482" w:firstLineChars="200"/>
        <w:jc w:val="center"/>
        <w:rPr>
          <w:rFonts w:hint="eastAsia" w:asciiTheme="minorEastAsia" w:hAnsiTheme="minorEastAsia" w:eastAsiaTheme="minorEastAsia" w:cstheme="minorEastAsia"/>
          <w:b/>
          <w:bCs/>
          <w:sz w:val="24"/>
          <w:szCs w:val="44"/>
          <w:highlight w:val="none"/>
        </w:rPr>
      </w:pPr>
    </w:p>
    <w:p>
      <w:pPr>
        <w:adjustRightInd w:val="0"/>
        <w:snapToGrid w:val="0"/>
        <w:spacing w:line="360" w:lineRule="auto"/>
        <w:ind w:firstLine="602" w:firstLineChars="250"/>
        <w:rPr>
          <w:rFonts w:hint="eastAsia" w:asciiTheme="minorEastAsia" w:hAnsiTheme="minorEastAsia" w:eastAsiaTheme="minorEastAsia" w:cstheme="minorEastAsia"/>
          <w:b/>
          <w:sz w:val="24"/>
          <w:szCs w:val="13"/>
          <w:highlight w:val="none"/>
        </w:rPr>
      </w:pPr>
    </w:p>
    <w:p>
      <w:pPr>
        <w:adjustRightInd w:val="0"/>
        <w:snapToGrid w:val="0"/>
        <w:spacing w:line="360" w:lineRule="auto"/>
        <w:ind w:firstLine="482" w:firstLineChars="20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委托人（全称）：</w:t>
      </w:r>
      <w:r>
        <w:rPr>
          <w:rFonts w:hint="eastAsia" w:asciiTheme="minorEastAsia" w:hAnsiTheme="minorEastAsia" w:eastAsiaTheme="minorEastAsia" w:cstheme="minorEastAsia"/>
          <w:b/>
          <w:sz w:val="24"/>
          <w:szCs w:val="32"/>
          <w:highlight w:val="none"/>
          <w:u w:val="single"/>
        </w:rPr>
        <w:t xml:space="preserve">                                      </w:t>
      </w:r>
    </w:p>
    <w:p>
      <w:pPr>
        <w:adjustRightInd w:val="0"/>
        <w:snapToGrid w:val="0"/>
        <w:spacing w:line="360" w:lineRule="auto"/>
        <w:ind w:firstLine="482"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b/>
          <w:sz w:val="24"/>
          <w:szCs w:val="32"/>
          <w:highlight w:val="none"/>
        </w:rPr>
        <w:t>监理人（全称）：</w:t>
      </w:r>
      <w:r>
        <w:rPr>
          <w:rFonts w:hint="eastAsia" w:asciiTheme="minorEastAsia" w:hAnsiTheme="minorEastAsia" w:eastAsiaTheme="minorEastAsia" w:cstheme="minorEastAsia"/>
          <w:b/>
          <w:sz w:val="24"/>
          <w:szCs w:val="32"/>
          <w:highlight w:val="none"/>
          <w:u w:val="single"/>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rPr>
        <w:t>根据《中华人民共和国建筑法》及其他有关法律、法规，遵循平等、自愿、公平和诚信的原则，双方就下述工程委托监理与相关服务事项协商一致，订立本合同。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一、工程概况</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1. 工程名称：</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2. 工程地点：</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3. 工程规模：</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475" w:firstLineChars="198"/>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4. 工程</w:t>
      </w:r>
      <w:r>
        <w:rPr>
          <w:rFonts w:hint="eastAsia" w:asciiTheme="minorEastAsia" w:hAnsiTheme="minorEastAsia" w:eastAsiaTheme="minorEastAsia" w:cstheme="minorEastAsia"/>
          <w:kern w:val="0"/>
          <w:sz w:val="24"/>
          <w:szCs w:val="32"/>
          <w:highlight w:val="none"/>
        </w:rPr>
        <w:t>概算投资额或建筑安装工程费</w:t>
      </w:r>
      <w:r>
        <w:rPr>
          <w:rFonts w:hint="eastAsia" w:asciiTheme="minorEastAsia" w:hAnsiTheme="minorEastAsia" w:eastAsiaTheme="minorEastAsia" w:cstheme="minorEastAsia"/>
          <w:sz w:val="24"/>
          <w:szCs w:val="32"/>
          <w:highlight w:val="none"/>
        </w:rPr>
        <w:t>：</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spacing w:line="360" w:lineRule="auto"/>
        <w:ind w:firstLine="477" w:firstLineChars="198"/>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二、词语限定</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协议书中相关词语的含义与通用条件中的定义与解释相同。</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三、组成本合同的文件</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1. 协议书；</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 中标通知书（适用于招标工程）或委托书（适用于非招标工程）；</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3. 投标文件（适用于招标工程）或监理与相关服务建议书（适用于非招标工程）；</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4. 专用条件；</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5. 通用条件；</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 附录，即：</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附录A  相关服务的范围和内容</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附录B  委托人派遣的人员和提供的</w:t>
      </w:r>
      <w:r>
        <w:rPr>
          <w:rFonts w:hint="eastAsia" w:asciiTheme="minorEastAsia" w:hAnsiTheme="minorEastAsia" w:eastAsiaTheme="minorEastAsia" w:cstheme="minorEastAsia"/>
          <w:bCs/>
          <w:sz w:val="24"/>
          <w:szCs w:val="32"/>
          <w:highlight w:val="none"/>
        </w:rPr>
        <w:t>房屋、资料</w:t>
      </w:r>
      <w:r>
        <w:rPr>
          <w:rFonts w:hint="eastAsia" w:asciiTheme="minorEastAsia" w:hAnsiTheme="minorEastAsia" w:eastAsiaTheme="minorEastAsia" w:cstheme="minorEastAsia"/>
          <w:sz w:val="24"/>
          <w:szCs w:val="32"/>
          <w:highlight w:val="none"/>
        </w:rPr>
        <w:t>、设备</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本合同签订后，双方依法签订的补充协议也是本合同文件的组成部分。</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四、总监理工程师</w:t>
      </w:r>
    </w:p>
    <w:p>
      <w:pPr>
        <w:adjustRightInd w:val="0"/>
        <w:snapToGrid w:val="0"/>
        <w:spacing w:line="360" w:lineRule="auto"/>
        <w:ind w:firstLine="475" w:firstLineChars="198"/>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总监理工程师姓名：</w:t>
      </w:r>
      <w:r>
        <w:rPr>
          <w:rFonts w:hint="eastAsia" w:asciiTheme="minorEastAsia" w:hAnsiTheme="minorEastAsia" w:eastAsiaTheme="minorEastAsia" w:cstheme="minorEastAsia"/>
          <w:kern w:val="0"/>
          <w:sz w:val="24"/>
          <w:szCs w:val="32"/>
          <w:highlight w:val="none"/>
          <w:u w:val="single"/>
        </w:rPr>
        <w:t xml:space="preserve">           </w:t>
      </w:r>
      <w:r>
        <w:rPr>
          <w:rFonts w:hint="eastAsia" w:asciiTheme="minorEastAsia" w:hAnsiTheme="minorEastAsia" w:eastAsiaTheme="minorEastAsia" w:cstheme="minorEastAsia"/>
          <w:kern w:val="0"/>
          <w:sz w:val="24"/>
          <w:szCs w:val="32"/>
          <w:highlight w:val="none"/>
        </w:rPr>
        <w:t>，身份证号码：</w:t>
      </w:r>
      <w:r>
        <w:rPr>
          <w:rFonts w:hint="eastAsia" w:asciiTheme="minorEastAsia" w:hAnsiTheme="minorEastAsia" w:eastAsiaTheme="minorEastAsia" w:cstheme="minorEastAsia"/>
          <w:kern w:val="0"/>
          <w:sz w:val="24"/>
          <w:szCs w:val="32"/>
          <w:highlight w:val="none"/>
          <w:u w:val="single"/>
        </w:rPr>
        <w:t xml:space="preserve">            </w:t>
      </w:r>
      <w:r>
        <w:rPr>
          <w:rFonts w:hint="eastAsia" w:asciiTheme="minorEastAsia" w:hAnsiTheme="minorEastAsia" w:eastAsiaTheme="minorEastAsia" w:cstheme="minorEastAsia"/>
          <w:kern w:val="0"/>
          <w:sz w:val="24"/>
          <w:szCs w:val="32"/>
          <w:highlight w:val="none"/>
        </w:rPr>
        <w:t>，注册号：</w:t>
      </w:r>
      <w:r>
        <w:rPr>
          <w:rFonts w:hint="eastAsia" w:asciiTheme="minorEastAsia" w:hAnsiTheme="minorEastAsia" w:eastAsiaTheme="minorEastAsia" w:cstheme="minorEastAsia"/>
          <w:kern w:val="0"/>
          <w:sz w:val="24"/>
          <w:szCs w:val="32"/>
          <w:highlight w:val="none"/>
          <w:u w:val="single"/>
        </w:rPr>
        <w:t xml:space="preserve">                 </w:t>
      </w:r>
      <w:r>
        <w:rPr>
          <w:rFonts w:hint="eastAsia" w:asciiTheme="minorEastAsia" w:hAnsiTheme="minorEastAsia" w:eastAsiaTheme="minorEastAsia" w:cstheme="minorEastAsia"/>
          <w:kern w:val="0"/>
          <w:sz w:val="24"/>
          <w:szCs w:val="32"/>
          <w:highlight w:val="none"/>
        </w:rPr>
        <w:t>。</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五、签约酬金</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签约酬金（大写）：</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szCs w:val="32"/>
          <w:highlight w:val="none"/>
        </w:rPr>
        <w:t>¥</w:t>
      </w:r>
      <w:r>
        <w:rPr>
          <w:rFonts w:hint="eastAsia" w:asciiTheme="minorEastAsia" w:hAnsiTheme="minorEastAsia" w:eastAsiaTheme="minorEastAsia" w:cstheme="minorEastAsia"/>
          <w:sz w:val="24"/>
          <w:highlight w:val="non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包括：</w:t>
      </w:r>
    </w:p>
    <w:p>
      <w:pPr>
        <w:adjustRightInd w:val="0"/>
        <w:snapToGrid w:val="0"/>
        <w:spacing w:line="360" w:lineRule="auto"/>
        <w:ind w:firstLine="600" w:firstLineChars="25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1. 监理酬金：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600" w:firstLineChars="25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2. 相关服务酬金：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其中：</w:t>
      </w:r>
    </w:p>
    <w:p>
      <w:pPr>
        <w:adjustRightInd w:val="0"/>
        <w:snapToGrid w:val="0"/>
        <w:spacing w:line="360" w:lineRule="auto"/>
        <w:ind w:firstLine="960" w:firstLineChars="4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szCs w:val="32"/>
          <w:highlight w:val="none"/>
        </w:rPr>
        <w:t>（1）勘察阶段服务</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960" w:firstLineChars="4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szCs w:val="32"/>
          <w:highlight w:val="none"/>
        </w:rPr>
        <w:t>（2）设计阶段服务</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960" w:firstLineChars="4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szCs w:val="32"/>
          <w:highlight w:val="none"/>
        </w:rPr>
        <w:t>（3）保修阶段服务</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960" w:firstLineChars="4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kern w:val="0"/>
          <w:sz w:val="24"/>
          <w:szCs w:val="32"/>
          <w:highlight w:val="none"/>
        </w:rPr>
        <w:t>（4）</w:t>
      </w:r>
      <w:r>
        <w:rPr>
          <w:rFonts w:hint="eastAsia" w:asciiTheme="minorEastAsia" w:hAnsiTheme="minorEastAsia" w:eastAsiaTheme="minorEastAsia" w:cstheme="minorEastAsia"/>
          <w:sz w:val="24"/>
          <w:szCs w:val="32"/>
          <w:highlight w:val="none"/>
        </w:rPr>
        <w:t>其他相关服务酬金：</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六、期限</w:t>
      </w:r>
    </w:p>
    <w:p>
      <w:pPr>
        <w:adjustRightInd w:val="0"/>
        <w:snapToGrid w:val="0"/>
        <w:spacing w:line="360" w:lineRule="auto"/>
        <w:ind w:firstLine="600" w:firstLineChars="250"/>
        <w:jc w:val="left"/>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 xml:space="preserve">1. </w:t>
      </w:r>
      <w:r>
        <w:rPr>
          <w:rFonts w:hint="eastAsia" w:asciiTheme="minorEastAsia" w:hAnsiTheme="minorEastAsia" w:eastAsiaTheme="minorEastAsia" w:cstheme="minorEastAsia"/>
          <w:sz w:val="24"/>
          <w:szCs w:val="32"/>
          <w:highlight w:val="none"/>
        </w:rPr>
        <w:t>监理期限：</w:t>
      </w:r>
    </w:p>
    <w:p>
      <w:pPr>
        <w:adjustRightInd w:val="0"/>
        <w:snapToGrid w:val="0"/>
        <w:spacing w:line="360" w:lineRule="auto"/>
        <w:ind w:firstLine="600" w:firstLineChars="250"/>
        <w:jc w:val="left"/>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自</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日始，至</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日止。</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 xml:space="preserve">2. </w:t>
      </w:r>
      <w:r>
        <w:rPr>
          <w:rFonts w:hint="eastAsia" w:asciiTheme="minorEastAsia" w:hAnsiTheme="minorEastAsia" w:eastAsiaTheme="minorEastAsia" w:cstheme="minorEastAsia"/>
          <w:sz w:val="24"/>
          <w:szCs w:val="32"/>
          <w:highlight w:val="none"/>
        </w:rPr>
        <w:t>相关服务期限：</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（1）勘察阶段</w:t>
      </w:r>
      <w:r>
        <w:rPr>
          <w:rFonts w:hint="eastAsia" w:asciiTheme="minorEastAsia" w:hAnsiTheme="minorEastAsia" w:eastAsiaTheme="minorEastAsia" w:cstheme="minorEastAsia"/>
          <w:sz w:val="24"/>
          <w:szCs w:val="32"/>
          <w:highlight w:val="none"/>
        </w:rPr>
        <w:t>服务期限自</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日始，至</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日止。</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（2）设计阶段</w:t>
      </w:r>
      <w:r>
        <w:rPr>
          <w:rFonts w:hint="eastAsia" w:asciiTheme="minorEastAsia" w:hAnsiTheme="minorEastAsia" w:eastAsiaTheme="minorEastAsia" w:cstheme="minorEastAsia"/>
          <w:sz w:val="24"/>
          <w:szCs w:val="32"/>
          <w:highlight w:val="none"/>
        </w:rPr>
        <w:t>服务期限自</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日始，至</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日止。</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（3）保修阶段</w:t>
      </w:r>
      <w:r>
        <w:rPr>
          <w:rFonts w:hint="eastAsia" w:asciiTheme="minorEastAsia" w:hAnsiTheme="minorEastAsia" w:eastAsiaTheme="minorEastAsia" w:cstheme="minorEastAsia"/>
          <w:sz w:val="24"/>
          <w:szCs w:val="32"/>
          <w:highlight w:val="none"/>
        </w:rPr>
        <w:t>服务期限自</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日始，至</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日止。</w:t>
      </w:r>
    </w:p>
    <w:p>
      <w:pPr>
        <w:adjustRightInd w:val="0"/>
        <w:snapToGrid w:val="0"/>
        <w:spacing w:line="360" w:lineRule="auto"/>
        <w:ind w:firstLine="600" w:firstLineChars="2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（4）</w:t>
      </w:r>
      <w:r>
        <w:rPr>
          <w:rFonts w:hint="eastAsia" w:asciiTheme="minorEastAsia" w:hAnsiTheme="minorEastAsia" w:eastAsiaTheme="minorEastAsia" w:cstheme="minorEastAsia"/>
          <w:sz w:val="24"/>
          <w:szCs w:val="32"/>
          <w:highlight w:val="none"/>
        </w:rPr>
        <w:t>其他相关服务期限自</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日始，至</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日止。</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七、双方承诺</w:t>
      </w:r>
    </w:p>
    <w:p>
      <w:pPr>
        <w:spacing w:line="360" w:lineRule="auto"/>
        <w:ind w:firstLine="475"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sz w:val="24"/>
          <w:szCs w:val="32"/>
          <w:highlight w:val="none"/>
        </w:rPr>
        <w:t>1. 监理人向委托人承诺，按照本合同约定</w:t>
      </w:r>
      <w:r>
        <w:rPr>
          <w:rFonts w:hint="eastAsia" w:asciiTheme="minorEastAsia" w:hAnsiTheme="minorEastAsia" w:eastAsiaTheme="minorEastAsia" w:cstheme="minorEastAsia"/>
          <w:kern w:val="0"/>
          <w:sz w:val="24"/>
          <w:szCs w:val="32"/>
          <w:highlight w:val="none"/>
        </w:rPr>
        <w:t>提供</w:t>
      </w:r>
      <w:r>
        <w:rPr>
          <w:rFonts w:hint="eastAsia" w:asciiTheme="minorEastAsia" w:hAnsiTheme="minorEastAsia" w:eastAsiaTheme="minorEastAsia" w:cstheme="minorEastAsia"/>
          <w:sz w:val="24"/>
          <w:szCs w:val="32"/>
          <w:highlight w:val="none"/>
        </w:rPr>
        <w:t>监理与相关服务。</w:t>
      </w:r>
    </w:p>
    <w:p>
      <w:pPr>
        <w:spacing w:line="360" w:lineRule="auto"/>
        <w:ind w:firstLine="475" w:firstLineChars="198"/>
        <w:outlineLvl w:val="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 委托人向监理人承诺，按照本合同约定派遣相应的人员，提供</w:t>
      </w:r>
      <w:r>
        <w:rPr>
          <w:rFonts w:hint="eastAsia" w:asciiTheme="minorEastAsia" w:hAnsiTheme="minorEastAsia" w:eastAsiaTheme="minorEastAsia" w:cstheme="minorEastAsia"/>
          <w:bCs/>
          <w:sz w:val="24"/>
          <w:szCs w:val="32"/>
          <w:highlight w:val="none"/>
        </w:rPr>
        <w:t>房屋、资料</w:t>
      </w:r>
      <w:r>
        <w:rPr>
          <w:rFonts w:hint="eastAsia" w:asciiTheme="minorEastAsia" w:hAnsiTheme="minorEastAsia" w:eastAsiaTheme="minorEastAsia" w:cstheme="minorEastAsia"/>
          <w:sz w:val="24"/>
          <w:szCs w:val="32"/>
          <w:highlight w:val="none"/>
        </w:rPr>
        <w:t>、设备，并按本合同约定支付酬金。</w:t>
      </w:r>
    </w:p>
    <w:p>
      <w:pPr>
        <w:spacing w:line="360" w:lineRule="auto"/>
        <w:ind w:firstLine="477" w:firstLineChars="198"/>
        <w:outlineLvl w:val="0"/>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八、合同订立</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 订立时间：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月</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日。</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 订立地点：</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left="632" w:leftChars="301"/>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3. 本合同一式</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份，具有同等法律效力，双方各执</w:t>
      </w:r>
    </w:p>
    <w:p>
      <w:pPr>
        <w:adjustRightInd w:val="0"/>
        <w:snapToGrid w:val="0"/>
        <w:spacing w:line="360" w:lineRule="auto"/>
        <w:ind w:left="632" w:leftChars="301"/>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份。</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委托人：</w:t>
      </w:r>
      <w:r>
        <w:rPr>
          <w:rFonts w:hint="eastAsia" w:asciiTheme="minorEastAsia" w:hAnsiTheme="minorEastAsia" w:eastAsiaTheme="minorEastAsia" w:cstheme="minorEastAsia"/>
          <w:sz w:val="24"/>
          <w:szCs w:val="32"/>
          <w:highlight w:val="none"/>
          <w:u w:val="single"/>
        </w:rPr>
        <w:t xml:space="preserve">   （盖章）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监理人：</w:t>
      </w:r>
      <w:r>
        <w:rPr>
          <w:rFonts w:hint="eastAsia" w:asciiTheme="minorEastAsia" w:hAnsiTheme="minorEastAsia" w:eastAsiaTheme="minorEastAsia" w:cstheme="minorEastAsia"/>
          <w:sz w:val="24"/>
          <w:szCs w:val="32"/>
          <w:highlight w:val="none"/>
          <w:u w:val="single"/>
        </w:rPr>
        <w:t xml:space="preserve">   （盖章）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 xml:space="preserve">住所：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 xml:space="preserve">住所：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邮政编码：</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邮政编码：</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法定代表人或其授权       法定代表人或其授权</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的代理人：</w:t>
      </w:r>
      <w:r>
        <w:rPr>
          <w:rFonts w:hint="eastAsia" w:asciiTheme="minorEastAsia" w:hAnsiTheme="minorEastAsia" w:eastAsiaTheme="minorEastAsia" w:cstheme="minorEastAsia"/>
          <w:sz w:val="24"/>
          <w:szCs w:val="32"/>
          <w:highlight w:val="none"/>
          <w:u w:val="single"/>
        </w:rPr>
        <w:t xml:space="preserve">（签字）      </w:t>
      </w:r>
      <w:r>
        <w:rPr>
          <w:rFonts w:hint="eastAsia" w:asciiTheme="minorEastAsia" w:hAnsiTheme="minorEastAsia" w:eastAsiaTheme="minorEastAsia" w:cstheme="minorEastAsia"/>
          <w:sz w:val="24"/>
          <w:szCs w:val="32"/>
          <w:highlight w:val="none"/>
        </w:rPr>
        <w:t xml:space="preserve">  的代理人：</w:t>
      </w:r>
      <w:r>
        <w:rPr>
          <w:rFonts w:hint="eastAsia" w:asciiTheme="minorEastAsia" w:hAnsiTheme="minorEastAsia" w:eastAsiaTheme="minorEastAsia" w:cstheme="minorEastAsia"/>
          <w:sz w:val="24"/>
          <w:szCs w:val="32"/>
          <w:highlight w:val="none"/>
          <w:u w:val="single"/>
        </w:rPr>
        <w:t xml:space="preserve">（签字）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开户银行：</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开户银行：</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账号：</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账号：</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电话：</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电话：</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传真：</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传真：</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ind w:firstLine="475" w:firstLineChars="198"/>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电子邮箱：</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电子邮箱：</w:t>
      </w:r>
      <w:r>
        <w:rPr>
          <w:rFonts w:hint="eastAsia" w:asciiTheme="minorEastAsia" w:hAnsiTheme="minorEastAsia" w:eastAsiaTheme="minorEastAsia" w:cstheme="minorEastAsia"/>
          <w:sz w:val="24"/>
          <w:highlight w:val="none"/>
          <w:u w:val="single"/>
        </w:rPr>
        <w:t xml:space="preserve">                  </w:t>
      </w:r>
    </w:p>
    <w:p>
      <w:pPr>
        <w:keepNext w:val="0"/>
        <w:keepLines w:val="0"/>
        <w:pageBreakBefore/>
        <w:widowControl w:val="0"/>
        <w:kinsoku/>
        <w:wordWrap/>
        <w:overflowPunct/>
        <w:topLinePunct w:val="0"/>
        <w:autoSpaceDE/>
        <w:autoSpaceDN/>
        <w:bidi w:val="0"/>
        <w:spacing w:before="0" w:beforeLines="0" w:after="0" w:afterLines="0" w:line="360" w:lineRule="exact"/>
        <w:ind w:right="0" w:rightChars="0"/>
        <w:jc w:val="center"/>
        <w:textAlignment w:val="auto"/>
        <w:outlineLvl w:val="9"/>
        <w:rPr>
          <w:rFonts w:hint="eastAsia" w:asciiTheme="minorEastAsia" w:hAnsiTheme="minorEastAsia" w:eastAsiaTheme="minorEastAsia" w:cstheme="minorEastAsia"/>
          <w:b/>
          <w:sz w:val="24"/>
          <w:szCs w:val="44"/>
          <w:highlight w:val="none"/>
        </w:rPr>
      </w:pPr>
      <w:r>
        <w:rPr>
          <w:rFonts w:hint="eastAsia" w:asciiTheme="minorEastAsia" w:hAnsiTheme="minorEastAsia" w:eastAsiaTheme="minorEastAsia" w:cstheme="minorEastAsia"/>
          <w:b/>
          <w:sz w:val="24"/>
          <w:szCs w:val="44"/>
          <w:highlight w:val="none"/>
        </w:rPr>
        <w:t>第二部分  通用条件</w:t>
      </w:r>
    </w:p>
    <w:p>
      <w:pPr>
        <w:keepNext w:val="0"/>
        <w:keepLines w:val="0"/>
        <w:widowControl w:val="0"/>
        <w:kinsoku/>
        <w:wordWrap/>
        <w:overflowPunct/>
        <w:topLinePunct w:val="0"/>
        <w:autoSpaceDE/>
        <w:autoSpaceDN/>
        <w:bidi w:val="0"/>
        <w:spacing w:before="0" w:beforeLines="0" w:after="0" w:afterLines="0" w:line="360" w:lineRule="exact"/>
        <w:ind w:right="0" w:rightChars="0"/>
        <w:jc w:val="center"/>
        <w:textAlignment w:val="auto"/>
        <w:outlineLvl w:val="9"/>
        <w:rPr>
          <w:rFonts w:hint="eastAsia" w:asciiTheme="minorEastAsia" w:hAnsiTheme="minorEastAsia" w:eastAsiaTheme="minorEastAsia" w:cstheme="minorEastAsia"/>
          <w:b/>
          <w:sz w:val="24"/>
          <w:highlight w:val="none"/>
        </w:rPr>
      </w:pPr>
    </w:p>
    <w:p>
      <w:pPr>
        <w:keepNext w:val="0"/>
        <w:keepLines w:val="0"/>
        <w:widowControl w:val="0"/>
        <w:kinsoku/>
        <w:wordWrap/>
        <w:overflowPunct/>
        <w:topLinePunct w:val="0"/>
        <w:autoSpaceDE/>
        <w:autoSpaceDN/>
        <w:bidi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1. 定义与解释</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1.1 </w:t>
      </w:r>
      <w:r>
        <w:rPr>
          <w:rFonts w:hint="eastAsia" w:asciiTheme="minorEastAsia" w:hAnsiTheme="minorEastAsia" w:eastAsiaTheme="minorEastAsia" w:cstheme="minorEastAsia"/>
          <w:bCs/>
          <w:sz w:val="24"/>
          <w:szCs w:val="32"/>
          <w:highlight w:val="none"/>
        </w:rPr>
        <w:t>定义</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除根据上下文另有其意义外，组成本合同的全部文件中的下列名词和用语应具有本款所赋予的含义：</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 “工程”是指按照本合同约定实施监理与相关服务的建设工程。</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1.1.2 “委托人”是指本合同中委托监理与相关服务的一方，及其合法的继承人或受让人。</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1.1.3 “监理人”是指本合同中提供监理与相关服务的一方，及其合法的继承人。</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1.1.4 “承包人”是指在工程范围内与委托人签订勘察、设计、施工等有关合同的当事人，及其合法的继承人。</w:t>
      </w:r>
    </w:p>
    <w:p>
      <w:pPr>
        <w:pStyle w:val="28"/>
        <w:keepNext w:val="0"/>
        <w:keepLines w:val="0"/>
        <w:widowControl w:val="0"/>
        <w:kinsoku/>
        <w:wordWrap/>
        <w:overflowPunct/>
        <w:topLinePunct w:val="0"/>
        <w:autoSpaceDE/>
        <w:autoSpaceDN/>
        <w:bidi w:val="0"/>
        <w:spacing w:before="0" w:beforeLines="0" w:after="0" w:afterLines="0" w:line="360" w:lineRule="exact"/>
        <w:ind w:right="0" w:rightChars="0" w:firstLine="57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1.1.6 “相关服务”是指监理人受委托人的委托 ，按照本合同约定，在勘察、设计、保修等阶段提供的服务活动。</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1.1.7 “正常工作”指本合同订立时通用条件和专用条件中约定的监理人的</w:t>
      </w:r>
      <w:r>
        <w:rPr>
          <w:rFonts w:hint="eastAsia" w:asciiTheme="minorEastAsia" w:hAnsiTheme="minorEastAsia" w:eastAsiaTheme="minorEastAsia" w:cstheme="minorEastAsia"/>
          <w:color w:val="000000"/>
          <w:sz w:val="24"/>
          <w:szCs w:val="32"/>
          <w:highlight w:val="none"/>
        </w:rPr>
        <w:t>工作</w:t>
      </w:r>
      <w:r>
        <w:rPr>
          <w:rFonts w:hint="eastAsia" w:asciiTheme="minorEastAsia" w:hAnsiTheme="minorEastAsia" w:eastAsiaTheme="minorEastAsia" w:cstheme="minorEastAsia"/>
          <w:sz w:val="24"/>
          <w:szCs w:val="32"/>
          <w:highlight w:val="none"/>
        </w:rPr>
        <w:t>。</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1.1.8 “附加工作”是指本合同约定的正常工作以外监理人的工作。</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1.1.9 “项目监理机构”是指监理人派驻工程负责履行本合同的组织机构。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1.1.10 “总监理工程师”是指由监理人的法定代表人书面授权，全面负责履行本合同、主持项目监理机构工作的注册监理工程师。</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75" w:firstLineChars="198"/>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1.1.11 “酬金”是指监理人履行本合同义务，委托人按照本合同约定给付监理人的金额。</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75" w:firstLineChars="198"/>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1.1.12 “正常工作</w:t>
      </w:r>
      <w:r>
        <w:rPr>
          <w:rFonts w:hint="eastAsia" w:asciiTheme="minorEastAsia" w:hAnsiTheme="minorEastAsia" w:eastAsiaTheme="minorEastAsia" w:cstheme="minorEastAsia"/>
          <w:kern w:val="0"/>
          <w:sz w:val="24"/>
          <w:szCs w:val="32"/>
          <w:highlight w:val="none"/>
        </w:rPr>
        <w:t>酬金”</w:t>
      </w:r>
      <w:r>
        <w:rPr>
          <w:rFonts w:hint="eastAsia" w:asciiTheme="minorEastAsia" w:hAnsiTheme="minorEastAsia" w:eastAsiaTheme="minorEastAsia" w:cstheme="minorEastAsia"/>
          <w:sz w:val="24"/>
          <w:szCs w:val="32"/>
          <w:highlight w:val="none"/>
        </w:rPr>
        <w:t>是指监理人完成正常工作，委托人应给付监理人并在协议书中载明的签约</w:t>
      </w:r>
      <w:r>
        <w:rPr>
          <w:rFonts w:hint="eastAsia" w:asciiTheme="minorEastAsia" w:hAnsiTheme="minorEastAsia" w:eastAsiaTheme="minorEastAsia" w:cstheme="minorEastAsia"/>
          <w:kern w:val="0"/>
          <w:sz w:val="24"/>
          <w:szCs w:val="32"/>
          <w:highlight w:val="none"/>
        </w:rPr>
        <w:t>酬金额</w:t>
      </w:r>
      <w:r>
        <w:rPr>
          <w:rFonts w:hint="eastAsia" w:asciiTheme="minorEastAsia" w:hAnsiTheme="minorEastAsia" w:eastAsiaTheme="minorEastAsia" w:cstheme="minorEastAsia"/>
          <w:sz w:val="24"/>
          <w:szCs w:val="32"/>
          <w:highlight w:val="none"/>
        </w:rPr>
        <w:t>。</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75" w:firstLineChars="198"/>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1.1.13 “附加工作酬金”是指监理人完成附加工作，委托人应给付监理人的金额。</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1.1.14 “一方”是指委托人或监理人；“双方”是指委托人和监理人；“第三方”是指除委托人和监理人以外的有关方。</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1.1.15 “书面形式”是指合同书、信件和数据电文（包括电报、电传、传真、电子数据交换和电子邮件）等可以有形地表现所载内容的形式。</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1.1.16 “天”是指第一天零时至第二天零时的时间。</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1.1.17“月”是指按公历从一个月中任何一天开始的一个公历月时间。</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0"/>
          <w:highlight w:val="none"/>
        </w:rPr>
      </w:pPr>
      <w:r>
        <w:rPr>
          <w:rFonts w:hint="eastAsia" w:asciiTheme="minorEastAsia" w:hAnsiTheme="minorEastAsia" w:eastAsiaTheme="minorEastAsia" w:cstheme="minorEastAsia"/>
          <w:sz w:val="24"/>
          <w:szCs w:val="3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bCs/>
          <w:sz w:val="24"/>
          <w:szCs w:val="32"/>
          <w:highlight w:val="none"/>
        </w:rPr>
        <w:t xml:space="preserve">1.2 </w:t>
      </w:r>
      <w:r>
        <w:rPr>
          <w:rFonts w:hint="eastAsia" w:asciiTheme="minorEastAsia" w:hAnsiTheme="minorEastAsia" w:eastAsiaTheme="minorEastAsia" w:cstheme="minorEastAsia"/>
          <w:sz w:val="24"/>
          <w:szCs w:val="32"/>
          <w:highlight w:val="none"/>
        </w:rPr>
        <w:t>解释</w:t>
      </w:r>
    </w:p>
    <w:p>
      <w:pPr>
        <w:keepNext w:val="0"/>
        <w:keepLines w:val="0"/>
        <w:widowControl w:val="0"/>
        <w:tabs>
          <w:tab w:val="left" w:pos="6140"/>
        </w:tabs>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1.2.1本合同使用中文书写、解释和说明。如专用条件约定使用两种及以上语言文字时，应以中文为准。</w:t>
      </w:r>
    </w:p>
    <w:p>
      <w:pPr>
        <w:keepNext w:val="0"/>
        <w:keepLines w:val="0"/>
        <w:widowControl w:val="0"/>
        <w:tabs>
          <w:tab w:val="left" w:pos="6140"/>
        </w:tabs>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1.2.2 组成本合同的下列文件彼此应能相互解释、互为说明。除专用条件另有约定外，本合同文件的解释顺序如下：</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（1）协议书；</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（2）中标通知书（适用于招标工程）或委托书（适用于非招标工程）；</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（3）专用条件及附录A、附录B；</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（4）通用条件；</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（5）投标文件（适用于招标工程）或监理与相关服务建议书（适用于非招标工程）。</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双方签订的补充协议与其他文件发生矛盾或歧义时，属于同一类内容的文件，应以最新签署的为准。</w:t>
      </w:r>
    </w:p>
    <w:p>
      <w:pPr>
        <w:keepNext w:val="0"/>
        <w:keepLines w:val="0"/>
        <w:widowControl w:val="0"/>
        <w:kinsoku/>
        <w:wordWrap/>
        <w:overflowPunct/>
        <w:topLinePunct w:val="0"/>
        <w:autoSpaceDE/>
        <w:autoSpaceDN/>
        <w:bidi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2. 监理人的义务</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2.1 监理的范围和工作内容</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left="420" w:leftChars="200"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2.1.1 监理范围在专用条件中约定。</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left="420" w:leftChars="200"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2.1.2 除专用条件另有约定外，监理工作内容包括：</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（1）收到工程设计文件后编制监理规划，并在第一次工地会议7天前报委托人。根据有关规定和监理工作需要，编制监理实施细则；</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（2）熟悉工程设计文件，并参加由委托人主持的图纸会审和设计交底会议；</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（3）参加由委托人主持的第一次工地会议；主持监理例会并根据工程需要主持或参加专题会议；</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（4）审查施工承包人提交的施工组织设计，重点审查其中的质量安全技术措施、专项施工方案与工程建设强制性标准的符合性；</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（5）检查施工承包人工程质量、安全生产管理制度及组织机构和人员资格； </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（6）检查施工承包人专职安全生产管理人员的配备情况；</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（7）审查施工承包人提交的施工进度计划，核查承包人对施工进度计划的调整；</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（8）检查施工承包人的试验室；</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（9）审核施工分包人资质条件；</w:t>
      </w:r>
    </w:p>
    <w:p>
      <w:pPr>
        <w:keepNext w:val="0"/>
        <w:keepLines w:val="0"/>
        <w:widowControl w:val="0"/>
        <w:kinsoku/>
        <w:wordWrap/>
        <w:overflowPunct/>
        <w:topLinePunct w:val="0"/>
        <w:autoSpaceDE/>
        <w:autoSpaceDN/>
        <w:bidi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（10）查验施工承包人的施工测量放线成果；</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（11）审查工程开工条件，对条件具备的签发开工令；</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（12）审查施工承包人报送的工程材料、构配件、设备质量证明文件的有效性和符合性，并按规定对用于工程的材料采取平行检验或见证取样方式进行抽检；</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left="-97" w:leftChars="-46"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（13）审核施工承包人提交的工程款支付申请，签发或出具工程款支付证书，并报委托人审核、批准；</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（14）在巡视、旁站和检验过程中，发现工程质量、施工安全存在事故隐患的，要求施工承包人整改并报委托人；</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（15）经委托人同意，签发工程暂停令和复工令；</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（16）审查施工承包人提交的采用新材料、新工艺、新技术、新设备的论证材料及相关验收标准；</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6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（17）验收隐蔽工程、分部分项工程；</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（18）审查施工承包人提交的工程变更申请，协调处理施工进度调整、费用索赔、合同争议等事项；</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（19）审查施工承包人提交的竣工验收申请，编写工程质量评估报告；</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（20）参加工程竣工验收，签署竣工验收意见；</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（21）审查施工承包人提交的竣工结算申请并报委托人；</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（22）编制、整理工程监理归档文件并报委托人。</w:t>
      </w:r>
    </w:p>
    <w:p>
      <w:pPr>
        <w:keepNext w:val="0"/>
        <w:keepLines w:val="0"/>
        <w:widowControl w:val="0"/>
        <w:kinsoku/>
        <w:wordWrap/>
        <w:overflowPunct/>
        <w:topLinePunct w:val="0"/>
        <w:autoSpaceDE/>
        <w:autoSpaceDN/>
        <w:bidi w:val="0"/>
        <w:spacing w:before="0" w:beforeLines="0" w:after="0" w:afterLines="0" w:line="360" w:lineRule="exact"/>
        <w:ind w:left="420" w:leftChars="200" w:right="0" w:rightChars="0" w:firstLine="120" w:firstLineChars="5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2.1.3 相关服务的范围和内容在附录A中约定。</w:t>
      </w:r>
    </w:p>
    <w:p>
      <w:pPr>
        <w:keepNext w:val="0"/>
        <w:keepLines w:val="0"/>
        <w:widowControl w:val="0"/>
        <w:kinsoku/>
        <w:wordWrap/>
        <w:overflowPunct/>
        <w:topLinePunct w:val="0"/>
        <w:autoSpaceDE/>
        <w:autoSpaceDN/>
        <w:bidi w:val="0"/>
        <w:spacing w:before="0" w:beforeLines="0" w:after="0" w:afterLines="0" w:line="360" w:lineRule="exact"/>
        <w:ind w:right="0" w:rightChars="0" w:firstLine="240" w:firstLineChars="1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2.2 </w:t>
      </w:r>
      <w:r>
        <w:rPr>
          <w:rFonts w:hint="eastAsia" w:asciiTheme="minorEastAsia" w:hAnsiTheme="minorEastAsia" w:eastAsiaTheme="minorEastAsia" w:cstheme="minorEastAsia"/>
          <w:bCs/>
          <w:sz w:val="24"/>
          <w:szCs w:val="32"/>
          <w:highlight w:val="none"/>
        </w:rPr>
        <w:t>监理与相关服务依据</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2.2.1 监理依据包括：</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00" w:firstLineChars="25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（1）适用的法律、行政法规及部门规章；</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00" w:firstLineChars="25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（2）与工程有关的标准；</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00" w:firstLineChars="25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（3）工程设计及有关文件；</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00" w:firstLineChars="25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（4）本合同及委托人与第三方签订的与实施工程有关的其他合同。</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bCs/>
          <w:sz w:val="24"/>
          <w:szCs w:val="32"/>
          <w:highlight w:val="none"/>
        </w:rPr>
        <w:t>双方根据工程的行业和地域特点，在专用条件中具体约定监理依据。</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2.2.2 相关服务依据在专用条件中约定。</w:t>
      </w:r>
    </w:p>
    <w:p>
      <w:pPr>
        <w:keepNext w:val="0"/>
        <w:keepLines w:val="0"/>
        <w:widowControl w:val="0"/>
        <w:kinsoku/>
        <w:wordWrap/>
        <w:overflowPunct/>
        <w:topLinePunct w:val="0"/>
        <w:autoSpaceDE/>
        <w:autoSpaceDN/>
        <w:bidi w:val="0"/>
        <w:spacing w:before="0" w:beforeLines="0" w:after="0" w:afterLines="0" w:line="360" w:lineRule="exact"/>
        <w:ind w:right="0" w:rightChars="0" w:firstLine="240" w:firstLineChars="1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 项目监理机构和人员</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645"/>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2.3.1 监理人应组建满足工作需要的项目监理机构，配备必要的检测设备。项目监理机构的主要人员应具有相应的资格条件。</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2.3.2本合同履行过程中，总监理工程师及重要岗位监理人员应保持相对稳定，以保证监理工作正常进行。</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2.3.4 监理人应及时更换有下列情形之一的监理人员：</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（1）严重过失行为的；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（2）有违法行为不能履行职责的；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（3）涉嫌犯罪的；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（4）不能胜任岗位职责的；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（5）严重违反职业道德的；</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（6）专用条件约定的其他情形。</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2.3.5 委托人可要求监理人更换不能胜任本职工作的项目监理机构人员。</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2.4 履行职责</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监理人应遵循职业道德准则和行为规范，严格按照法律法规、工程建设有关标准及本合同履行职责。</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2.4.1 在监理与相关服务范围内，委托人和承包人提出的意见和要求，监理人应及时提出处置意见。当委托人与承包人之间发生合同争议时，监理人应协助委托人、承包人协商解决。</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2.4.2 当委托人与承包人之间的合同争议提交仲裁机构仲裁或人民法院审理时，监理人应提供必要的证明资料。</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2.4.3 监理人应在专用条件约定的授权范围内，处理委托人与承包人所签订合同的变更事宜。如果变更超过授权范围，应以书面形式报委托人批准。</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在紧急情况下，为了保护财产和人身安全，监理人所发出的指令未能事先报委托人批准时，应在发出指令后的24小时内以书面形式报委托人。</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2.4.4 除专用条件另有约定外，监理人发现承包人的人员不能胜任本职工作的，有权要求承包人予以调换。</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2.5 提交报告</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监理人应按专用条件约定的种类、时间和份数向委托人提交监理与相关服务的报告。</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2.6 文件资料</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在本合同履行期内，监理人应在现场保留工作所用的图纸、报告及记录监理工</w:t>
      </w:r>
      <w:r>
        <w:rPr>
          <w:rFonts w:hint="eastAsia" w:asciiTheme="minorEastAsia" w:hAnsiTheme="minorEastAsia" w:eastAsiaTheme="minorEastAsia" w:cstheme="minorEastAsia"/>
          <w:sz w:val="24"/>
          <w:szCs w:val="32"/>
          <w:highlight w:val="none"/>
        </w:rPr>
        <w:t>作的相关文件。工程竣工后，应当按照档案管理规定将监理有关文件归档。</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2.7 使用委托人的财产</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keepNext w:val="0"/>
        <w:keepLines w:val="0"/>
        <w:widowControl w:val="0"/>
        <w:kinsoku/>
        <w:wordWrap/>
        <w:overflowPunct/>
        <w:topLinePunct w:val="0"/>
        <w:autoSpaceDE/>
        <w:autoSpaceDN/>
        <w:bidi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kern w:val="0"/>
          <w:sz w:val="24"/>
          <w:szCs w:val="32"/>
          <w:highlight w:val="none"/>
        </w:rPr>
      </w:pPr>
      <w:r>
        <w:rPr>
          <w:rFonts w:hint="eastAsia" w:asciiTheme="minorEastAsia" w:hAnsiTheme="minorEastAsia" w:eastAsiaTheme="minorEastAsia" w:cstheme="minorEastAsia"/>
          <w:b/>
          <w:kern w:val="0"/>
          <w:sz w:val="24"/>
          <w:szCs w:val="32"/>
          <w:highlight w:val="none"/>
        </w:rPr>
        <w:t>3．委托人的义务</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3.1 告知</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委托人应在委托人与承包人签订的合同中明确监理人、总监理工程师和授予项目监理机构的权限。如有变更，应及时通知承包人。</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3.2 提供资料</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委托人应按照附录B约定，</w:t>
      </w:r>
      <w:r>
        <w:rPr>
          <w:rFonts w:hint="eastAsia" w:asciiTheme="minorEastAsia" w:hAnsiTheme="minorEastAsia" w:eastAsiaTheme="minorEastAsia" w:cstheme="minorEastAsia"/>
          <w:color w:val="000000"/>
          <w:kern w:val="0"/>
          <w:sz w:val="24"/>
          <w:szCs w:val="32"/>
          <w:highlight w:val="none"/>
        </w:rPr>
        <w:t>无偿</w:t>
      </w:r>
      <w:r>
        <w:rPr>
          <w:rFonts w:hint="eastAsia" w:asciiTheme="minorEastAsia" w:hAnsiTheme="minorEastAsia" w:eastAsiaTheme="minorEastAsia" w:cstheme="minorEastAsia"/>
          <w:kern w:val="0"/>
          <w:sz w:val="24"/>
          <w:szCs w:val="32"/>
          <w:highlight w:val="none"/>
        </w:rPr>
        <w:t>向监理人提供工程有关的资料。</w:t>
      </w:r>
      <w:r>
        <w:rPr>
          <w:rFonts w:hint="eastAsia" w:asciiTheme="minorEastAsia" w:hAnsiTheme="minorEastAsia" w:eastAsiaTheme="minorEastAsia" w:cstheme="minorEastAsia"/>
          <w:sz w:val="24"/>
          <w:szCs w:val="32"/>
          <w:highlight w:val="none"/>
        </w:rPr>
        <w:t>在本合同履行过程中，委托人应及时向监理人提供最新的与工程有关的资料。</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3.3 提供工作条件</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委托人应为监理人完成监理与相关服务提供必要的条件。</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 xml:space="preserve">3.3.1 </w:t>
      </w:r>
      <w:r>
        <w:rPr>
          <w:rFonts w:hint="eastAsia" w:asciiTheme="minorEastAsia" w:hAnsiTheme="minorEastAsia" w:eastAsiaTheme="minorEastAsia" w:cstheme="minorEastAsia"/>
          <w:sz w:val="24"/>
          <w:szCs w:val="32"/>
          <w:highlight w:val="none"/>
        </w:rPr>
        <w:t>委托人应按照附录B约定，派遣相应的人员，提供房屋、设备，供监理人</w:t>
      </w:r>
      <w:r>
        <w:rPr>
          <w:rFonts w:hint="eastAsia" w:asciiTheme="minorEastAsia" w:hAnsiTheme="minorEastAsia" w:eastAsiaTheme="minorEastAsia" w:cstheme="minorEastAsia"/>
          <w:kern w:val="0"/>
          <w:sz w:val="24"/>
          <w:szCs w:val="32"/>
          <w:highlight w:val="none"/>
        </w:rPr>
        <w:t>无偿</w:t>
      </w:r>
      <w:r>
        <w:rPr>
          <w:rFonts w:hint="eastAsia" w:asciiTheme="minorEastAsia" w:hAnsiTheme="minorEastAsia" w:eastAsiaTheme="minorEastAsia" w:cstheme="minorEastAsia"/>
          <w:sz w:val="24"/>
          <w:szCs w:val="32"/>
          <w:highlight w:val="none"/>
        </w:rPr>
        <w:t>使用。</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 xml:space="preserve">3.3.2 </w:t>
      </w:r>
      <w:r>
        <w:rPr>
          <w:rFonts w:hint="eastAsia" w:asciiTheme="minorEastAsia" w:hAnsiTheme="minorEastAsia" w:eastAsiaTheme="minorEastAsia" w:cstheme="minorEastAsia"/>
          <w:sz w:val="24"/>
          <w:szCs w:val="32"/>
          <w:highlight w:val="none"/>
        </w:rPr>
        <w:t>委托人应负责协调工程建设中所有外部关系，为监理人履行本合同提供必要的外部条件。</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3.4 委托人代表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3.5 委托人意见或要求</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在本合同约定的监理与相关服务工作范围内，委托人对承包人的任何意见或要求应通知监理人，由监理人向承包人发出相应指令。</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3.6 答复</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委托人应在专用条件约定的时间内，对监理人以书面形式提交并要求作出决定的事宜，给予书面答复。逾期未答复的，视为委托人认可。</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3.7 支付</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委托人应按本合同约定，向监理人支付酬金。</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4. 违约责任</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4.1 监理人的违约责任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监理人未履行本合同义务的，应承担相应的责任。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4.1.1 因监理人违反本合同约定</w:t>
      </w:r>
      <w:r>
        <w:rPr>
          <w:rFonts w:hint="eastAsia" w:asciiTheme="minorEastAsia" w:hAnsiTheme="minorEastAsia" w:eastAsiaTheme="minorEastAsia" w:cstheme="minorEastAsia"/>
          <w:sz w:val="24"/>
          <w:szCs w:val="32"/>
          <w:highlight w:val="none"/>
        </w:rPr>
        <w:t>给委托人造成损失的，监理人应当赔偿委托人损失</w:t>
      </w:r>
      <w:r>
        <w:rPr>
          <w:rFonts w:hint="eastAsia" w:asciiTheme="minorEastAsia" w:hAnsiTheme="minorEastAsia" w:eastAsiaTheme="minorEastAsia" w:cstheme="minorEastAsia"/>
          <w:kern w:val="0"/>
          <w:sz w:val="24"/>
          <w:szCs w:val="32"/>
          <w:highlight w:val="none"/>
        </w:rPr>
        <w:t>。赔偿金额的确定方法在专用条件中约定。监理人承担部分赔偿责任的，其承担赔偿金额由双方协商确定。</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4.1.2 监理人向委托人的索赔不成立时，监理人应赔偿委托人由此发生的费用。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240" w:firstLineChars="1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4.2 委托人的违约责任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委托人未履行本合同义务的，应承担相应的责任。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4.2.1 委托人违反本合同约定造成监理人损失的，委托人应予以赔偿。</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4.2.2 委托人向监理人的索赔不成立时，应赔偿监理人由此引起的费用。</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sz w:val="24"/>
          <w:szCs w:val="32"/>
          <w:highlight w:val="none"/>
        </w:rPr>
        <w:t xml:space="preserve">4.2.3 </w:t>
      </w:r>
      <w:r>
        <w:rPr>
          <w:rFonts w:hint="eastAsia" w:asciiTheme="minorEastAsia" w:hAnsiTheme="minorEastAsia" w:eastAsiaTheme="minorEastAsia" w:cstheme="minorEastAsia"/>
          <w:kern w:val="0"/>
          <w:sz w:val="24"/>
          <w:szCs w:val="32"/>
          <w:highlight w:val="none"/>
        </w:rPr>
        <w:t>委托人未能按期支付</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kern w:val="0"/>
          <w:sz w:val="24"/>
          <w:szCs w:val="32"/>
          <w:highlight w:val="none"/>
        </w:rPr>
        <w:t>超过28天，应按专用条件约定支付逾期付款利息。</w:t>
      </w:r>
    </w:p>
    <w:p>
      <w:pPr>
        <w:keepNext w:val="0"/>
        <w:keepLines w:val="0"/>
        <w:widowControl w:val="0"/>
        <w:kinsoku/>
        <w:wordWrap/>
        <w:overflowPunct/>
        <w:topLinePunct w:val="0"/>
        <w:autoSpaceDE/>
        <w:autoSpaceDN/>
        <w:bidi w:val="0"/>
        <w:spacing w:before="0" w:beforeLines="0" w:after="0" w:afterLines="0" w:line="360" w:lineRule="exact"/>
        <w:ind w:right="0" w:rightChars="0" w:firstLine="240" w:firstLineChars="1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4.3 除外责任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因非监理人的原因，且监理人无过错，发生工程质量事故、安全事故、工期延误等造成的损失，监理人不承担赔偿责任。</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因不可抗力导致本合同全部或部分不能履行时，双方各自承担其因此而造成的损失、损害。</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5. 支付</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5.1 </w:t>
      </w:r>
      <w:r>
        <w:rPr>
          <w:rFonts w:hint="eastAsia" w:asciiTheme="minorEastAsia" w:hAnsiTheme="minorEastAsia" w:eastAsiaTheme="minorEastAsia" w:cstheme="minorEastAsia"/>
          <w:bCs/>
          <w:sz w:val="24"/>
          <w:szCs w:val="32"/>
          <w:highlight w:val="none"/>
        </w:rPr>
        <w:t>支付货币</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除专用条件另有约定外，酬金均以人民币支付。涉及外币支付的，所采用的货币种类、比例和汇率在专用条件中约定。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5.2 支付申请</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监理人应在本合同约定的每次应付款时间的7天前，向委托人提交支付申请书。支付申请书应当说明当期应付款总额，并列出当期应支付的款项及其金额。</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 5.3 支付酬金</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支付的酬金包括正常工作酬金、附加工作酬金、合理化建议奖励金额及费用。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  5.4 </w:t>
      </w:r>
      <w:r>
        <w:rPr>
          <w:rFonts w:hint="eastAsia" w:asciiTheme="minorEastAsia" w:hAnsiTheme="minorEastAsia" w:eastAsiaTheme="minorEastAsia" w:cstheme="minorEastAsia"/>
          <w:bCs/>
          <w:sz w:val="24"/>
          <w:szCs w:val="32"/>
          <w:highlight w:val="none"/>
        </w:rPr>
        <w:t>有争议部分的付款</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bCs/>
          <w:color w:val="FF0000"/>
          <w:sz w:val="24"/>
          <w:szCs w:val="32"/>
          <w:highlight w:val="none"/>
        </w:rPr>
      </w:pPr>
      <w:r>
        <w:rPr>
          <w:rFonts w:hint="eastAsia" w:asciiTheme="minorEastAsia" w:hAnsiTheme="minorEastAsia" w:eastAsiaTheme="minorEastAsia" w:cstheme="minorEastAsia"/>
          <w:b/>
          <w:bCs/>
          <w:sz w:val="24"/>
          <w:szCs w:val="32"/>
          <w:highlight w:val="none"/>
        </w:rPr>
        <w:t>6. 合同生效、变更、暂停、解除与终止</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6.1生效</w:t>
      </w:r>
    </w:p>
    <w:p>
      <w:pPr>
        <w:keepNext w:val="0"/>
        <w:keepLines w:val="0"/>
        <w:widowControl w:val="0"/>
        <w:kinsoku/>
        <w:wordWrap/>
        <w:overflowPunct/>
        <w:topLinePunct w:val="0"/>
        <w:autoSpaceDE/>
        <w:autoSpaceDN/>
        <w:bidi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除法律另有规定或者专用条件另有约定外，委托人和监理人的法定代表人或其授权代理人在协议书上签字并盖单位章后本合同生效。</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6.2</w:t>
      </w:r>
      <w:r>
        <w:rPr>
          <w:rFonts w:hint="eastAsia" w:asciiTheme="minorEastAsia" w:hAnsiTheme="minorEastAsia" w:eastAsiaTheme="minorEastAsia" w:cstheme="minorEastAsia"/>
          <w:bCs/>
          <w:sz w:val="24"/>
          <w:szCs w:val="32"/>
          <w:highlight w:val="none"/>
        </w:rPr>
        <w:t>变更</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6.2.1 任何一方提出变更请求时，双方经协商一致后可进行变更。</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6.2.4合同签订后，遇有与工程相关的法律法规、标准颁布或修订的，双方应遵照执行。由此引起监理与相关服务的范围、时间、酬金变化的，双方应通过协商进行相应调整。</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6.2.5 因非监理人原因造成工程概算投资额或建筑安装工程费增加时，正常工作酬金应作相应调整。调整方法在专用条件中约定。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6.2.6 因工程规模、监理范围的变化导致监理人的正常工作量减少时，正常工作酬金应作相应调整。调整方法在专用条件中约定。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  6.3 暂停与</w:t>
      </w:r>
      <w:r>
        <w:rPr>
          <w:rFonts w:hint="eastAsia" w:asciiTheme="minorEastAsia" w:hAnsiTheme="minorEastAsia" w:eastAsiaTheme="minorEastAsia" w:cstheme="minorEastAsia"/>
          <w:bCs/>
          <w:sz w:val="24"/>
          <w:szCs w:val="32"/>
          <w:highlight w:val="none"/>
        </w:rPr>
        <w:t>解除</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除双方协商一致可以解除本合同外，当一方无正当理由未履行本合同约定的义务时，另一方可以根据本合同约定暂停履行本合同直至解除本合同。</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因解除本合同或解除监理人的部分义务导致监理人遭受的损失，除依法可以免除责任的情况外，应由委托人予以补偿，补偿金额由双方协商确定。</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解除本合同的协议必须采取书面形式，协议未达成之前，本合同仍然有效。</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Theme="minorEastAsia" w:hAnsiTheme="minorEastAsia" w:eastAsiaTheme="minorEastAsia" w:cstheme="minorEastAsia"/>
          <w:kern w:val="0"/>
          <w:sz w:val="24"/>
          <w:szCs w:val="32"/>
          <w:highlight w:val="none"/>
        </w:rPr>
        <w:t>的</w:t>
      </w:r>
      <w:r>
        <w:rPr>
          <w:rFonts w:hint="eastAsia" w:asciiTheme="minorEastAsia" w:hAnsiTheme="minorEastAsia" w:eastAsiaTheme="minorEastAsia" w:cstheme="minorEastAsia"/>
          <w:sz w:val="24"/>
          <w:szCs w:val="32"/>
          <w:highlight w:val="none"/>
        </w:rPr>
        <w:t>酬金支付至本合同解除日，且应承担第4.2款约定的责任。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Theme="minorEastAsia" w:hAnsiTheme="minorEastAsia" w:eastAsiaTheme="minorEastAsia" w:cstheme="minorEastAsia"/>
          <w:kern w:val="0"/>
          <w:sz w:val="24"/>
          <w:szCs w:val="32"/>
          <w:highlight w:val="none"/>
        </w:rPr>
        <w:t>的</w:t>
      </w:r>
      <w:r>
        <w:rPr>
          <w:rFonts w:hint="eastAsia" w:asciiTheme="minorEastAsia" w:hAnsiTheme="minorEastAsia" w:eastAsiaTheme="minorEastAsia" w:cstheme="minorEastAsia"/>
          <w:sz w:val="24"/>
          <w:szCs w:val="32"/>
          <w:highlight w:val="none"/>
        </w:rPr>
        <w:t>酬金支付至</w:t>
      </w:r>
      <w:r>
        <w:rPr>
          <w:rFonts w:hint="eastAsia" w:asciiTheme="minorEastAsia" w:hAnsiTheme="minorEastAsia" w:eastAsiaTheme="minorEastAsia" w:cstheme="minorEastAsia"/>
          <w:kern w:val="0"/>
          <w:sz w:val="24"/>
          <w:szCs w:val="32"/>
          <w:highlight w:val="none"/>
        </w:rPr>
        <w:t>限期改正通知到达监理人之日</w:t>
      </w:r>
      <w:r>
        <w:rPr>
          <w:rFonts w:hint="eastAsia" w:asciiTheme="minorEastAsia" w:hAnsiTheme="minorEastAsia" w:eastAsiaTheme="minorEastAsia" w:cstheme="minorEastAsia"/>
          <w:sz w:val="24"/>
          <w:szCs w:val="32"/>
          <w:highlight w:val="none"/>
        </w:rPr>
        <w:t>，但监理人应承担第4.1款约定的责任。</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sz w:val="24"/>
          <w:szCs w:val="32"/>
          <w:highlight w:val="none"/>
        </w:rPr>
        <w:t>6.3.5 因不可抗力致使本合同部分或全部不能履行时，一方应立即通知另一方，可暂停或解除本合同。</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6.3.6 本合同解除后，本合同约定的有关结算、清理、争议解决方式的条件仍然有效。</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6.4 </w:t>
      </w:r>
      <w:r>
        <w:rPr>
          <w:rFonts w:hint="eastAsia" w:asciiTheme="minorEastAsia" w:hAnsiTheme="minorEastAsia" w:eastAsiaTheme="minorEastAsia" w:cstheme="minorEastAsia"/>
          <w:bCs/>
          <w:sz w:val="24"/>
          <w:szCs w:val="32"/>
          <w:highlight w:val="none"/>
        </w:rPr>
        <w:t>终止</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以下条件全部满足时，本合同即告终止：</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（1）监理人完成本合同约定的全部工作；</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（2）委托人与监理人结清并支付全部酬金。</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7. 争议解决</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7.1</w:t>
      </w:r>
      <w:r>
        <w:rPr>
          <w:rFonts w:hint="eastAsia" w:asciiTheme="minorEastAsia" w:hAnsiTheme="minorEastAsia" w:eastAsiaTheme="minorEastAsia" w:cstheme="minorEastAsia"/>
          <w:bCs/>
          <w:sz w:val="24"/>
          <w:szCs w:val="32"/>
          <w:highlight w:val="none"/>
        </w:rPr>
        <w:t>协商</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双方应本着诚信原则协商解决彼此间的争议。</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7.2</w:t>
      </w:r>
      <w:r>
        <w:rPr>
          <w:rFonts w:hint="eastAsia" w:asciiTheme="minorEastAsia" w:hAnsiTheme="minorEastAsia" w:eastAsiaTheme="minorEastAsia" w:cstheme="minorEastAsia"/>
          <w:bCs/>
          <w:sz w:val="24"/>
          <w:szCs w:val="32"/>
          <w:highlight w:val="none"/>
        </w:rPr>
        <w:t>调解</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如果双方不能在14天内或双方商定的其他时间内解决本合同争议，可以将其提交给专用条件约定的或事后达成协议的调解人进行调解。</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7.3</w:t>
      </w:r>
      <w:r>
        <w:rPr>
          <w:rFonts w:hint="eastAsia" w:asciiTheme="minorEastAsia" w:hAnsiTheme="minorEastAsia" w:eastAsiaTheme="minorEastAsia" w:cstheme="minorEastAsia"/>
          <w:bCs/>
          <w:sz w:val="24"/>
          <w:szCs w:val="32"/>
          <w:highlight w:val="none"/>
        </w:rPr>
        <w:t>仲裁或诉讼</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双方均有权不经调解直接向专用条件约定的仲裁机构申请仲裁或向有管辖权的人民法院提起诉讼。</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textAlignment w:val="auto"/>
        <w:outlineLvl w:val="9"/>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8. 其他</w:t>
      </w:r>
    </w:p>
    <w:p>
      <w:pPr>
        <w:keepNext w:val="0"/>
        <w:keepLines w:val="0"/>
        <w:widowControl w:val="0"/>
        <w:kinsoku/>
        <w:wordWrap/>
        <w:overflowPunct/>
        <w:topLinePunct w:val="0"/>
        <w:autoSpaceDE/>
        <w:autoSpaceDN/>
        <w:bidi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8.1 </w:t>
      </w:r>
      <w:r>
        <w:rPr>
          <w:rFonts w:hint="eastAsia" w:asciiTheme="minorEastAsia" w:hAnsiTheme="minorEastAsia" w:eastAsiaTheme="minorEastAsia" w:cstheme="minorEastAsia"/>
          <w:bCs/>
          <w:sz w:val="24"/>
          <w:szCs w:val="32"/>
          <w:highlight w:val="none"/>
        </w:rPr>
        <w:t>外出考察费用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经委托人同意，监理人员外出考察发生的费用由委托人审核后支付。</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8.2 </w:t>
      </w:r>
      <w:r>
        <w:rPr>
          <w:rFonts w:hint="eastAsia" w:asciiTheme="minorEastAsia" w:hAnsiTheme="minorEastAsia" w:eastAsiaTheme="minorEastAsia" w:cstheme="minorEastAsia"/>
          <w:bCs/>
          <w:sz w:val="24"/>
          <w:szCs w:val="32"/>
          <w:highlight w:val="none"/>
        </w:rPr>
        <w:t>检测费用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委托人要求监理人进行的材料和设备检测所发生的费用，由委托人支付，支付时间在专用条件中约定。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8.3 </w:t>
      </w:r>
      <w:r>
        <w:rPr>
          <w:rFonts w:hint="eastAsia" w:asciiTheme="minorEastAsia" w:hAnsiTheme="minorEastAsia" w:eastAsiaTheme="minorEastAsia" w:cstheme="minorEastAsia"/>
          <w:bCs/>
          <w:sz w:val="24"/>
          <w:szCs w:val="32"/>
          <w:highlight w:val="none"/>
        </w:rPr>
        <w:t>咨询费用</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经委托人同意，根据工程需要由监理人组织的相关咨询论证会以及聘请相关专家等发生的费用由委托人支付，支付时间在专用条件中约定。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8.4 </w:t>
      </w:r>
      <w:r>
        <w:rPr>
          <w:rFonts w:hint="eastAsia" w:asciiTheme="minorEastAsia" w:hAnsiTheme="minorEastAsia" w:eastAsiaTheme="minorEastAsia" w:cstheme="minorEastAsia"/>
          <w:bCs/>
          <w:sz w:val="24"/>
          <w:szCs w:val="32"/>
          <w:highlight w:val="none"/>
        </w:rPr>
        <w:t>奖励</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监理人在服务过程中提出的合理化建议，使委托人获得经济效益的，双方在专用条件中约定奖励金额的确定方法。奖励金额在合理化建议被采纳后，与最近一期的正常工作酬金同期支付。</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8.5 </w:t>
      </w:r>
      <w:r>
        <w:rPr>
          <w:rFonts w:hint="eastAsia" w:asciiTheme="minorEastAsia" w:hAnsiTheme="minorEastAsia" w:eastAsiaTheme="minorEastAsia" w:cstheme="minorEastAsia"/>
          <w:bCs/>
          <w:sz w:val="24"/>
          <w:szCs w:val="32"/>
          <w:highlight w:val="none"/>
        </w:rPr>
        <w:t>守法诚信</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监理人及其工作人员不得从与实施工程有关的第三方处获得任何经济利益。</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8.6 </w:t>
      </w:r>
      <w:r>
        <w:rPr>
          <w:rFonts w:hint="eastAsia" w:asciiTheme="minorEastAsia" w:hAnsiTheme="minorEastAsia" w:eastAsiaTheme="minorEastAsia" w:cstheme="minorEastAsia"/>
          <w:bCs/>
          <w:sz w:val="24"/>
          <w:szCs w:val="32"/>
          <w:highlight w:val="none"/>
        </w:rPr>
        <w:t>保密</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双方不得泄露对方申明的保密资料，亦不得泄露与实施工程有关的第三方所提供的保密资料，保密事项在专用条件中约定。</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8.7 </w:t>
      </w:r>
      <w:r>
        <w:rPr>
          <w:rFonts w:hint="eastAsia" w:asciiTheme="minorEastAsia" w:hAnsiTheme="minorEastAsia" w:eastAsiaTheme="minorEastAsia" w:cstheme="minorEastAsia"/>
          <w:bCs/>
          <w:sz w:val="24"/>
          <w:szCs w:val="32"/>
          <w:highlight w:val="none"/>
        </w:rPr>
        <w:t>通知</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本合同涉及的通知均应当采用书面形式，并在送达对方时生效，收件人应书面签收。</w:t>
      </w:r>
    </w:p>
    <w:p>
      <w:pPr>
        <w:keepNext w:val="0"/>
        <w:keepLines w:val="0"/>
        <w:widowControl w:val="0"/>
        <w:kinsoku/>
        <w:wordWrap/>
        <w:overflowPunct/>
        <w:topLinePunct w:val="0"/>
        <w:autoSpaceDE/>
        <w:autoSpaceDN/>
        <w:bidi w:val="0"/>
        <w:snapToGrid w:val="0"/>
        <w:spacing w:before="0" w:beforeLines="0" w:after="0" w:afterLines="0" w:line="360" w:lineRule="exact"/>
        <w:ind w:left="210" w:leftChars="100" w:right="0" w:rightChars="0"/>
        <w:textAlignment w:val="auto"/>
        <w:outlineLvl w:val="9"/>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 xml:space="preserve">8.8 </w:t>
      </w:r>
      <w:r>
        <w:rPr>
          <w:rFonts w:hint="eastAsia" w:asciiTheme="minorEastAsia" w:hAnsiTheme="minorEastAsia" w:eastAsiaTheme="minorEastAsia" w:cstheme="minorEastAsia"/>
          <w:bCs/>
          <w:sz w:val="24"/>
          <w:szCs w:val="32"/>
          <w:highlight w:val="none"/>
        </w:rPr>
        <w:t>著作权</w:t>
      </w:r>
    </w:p>
    <w:p>
      <w:pPr>
        <w:keepNext w:val="0"/>
        <w:keepLines w:val="0"/>
        <w:widowControl w:val="0"/>
        <w:kinsoku/>
        <w:wordWrap/>
        <w:overflowPunct/>
        <w:topLinePunct w:val="0"/>
        <w:autoSpaceDE/>
        <w:autoSpaceDN/>
        <w:bidi w:val="0"/>
        <w:adjustRightInd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监理人对其编制的文件拥有著作权。</w:t>
      </w:r>
    </w:p>
    <w:p>
      <w:pPr>
        <w:keepNext w:val="0"/>
        <w:keepLines w:val="0"/>
        <w:widowControl w:val="0"/>
        <w:kinsoku/>
        <w:wordWrap/>
        <w:overflowPunct/>
        <w:topLinePunct w:val="0"/>
        <w:autoSpaceDE/>
        <w:autoSpaceDN/>
        <w:bidi w:val="0"/>
        <w:snapToGrid w:val="0"/>
        <w:spacing w:before="0" w:beforeLines="0" w:after="0" w:afterLines="0" w:line="360" w:lineRule="exact"/>
        <w:ind w:right="0" w:rightChars="0" w:firstLine="480" w:firstLineChars="200"/>
        <w:textAlignment w:val="auto"/>
        <w:outlineLvl w:val="9"/>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第三部分  专用条件</w:t>
      </w:r>
    </w:p>
    <w:p>
      <w:pPr>
        <w:spacing w:line="360" w:lineRule="auto"/>
        <w:jc w:val="center"/>
        <w:rPr>
          <w:rFonts w:hint="eastAsia" w:asciiTheme="minorEastAsia" w:hAnsiTheme="minorEastAsia" w:eastAsiaTheme="minorEastAsia" w:cstheme="minorEastAsia"/>
          <w:b/>
          <w:sz w:val="24"/>
          <w:highlight w:val="none"/>
        </w:rPr>
      </w:pPr>
    </w:p>
    <w:p>
      <w:pPr>
        <w:adjustRightInd w:val="0"/>
        <w:snapToGrid w:val="0"/>
        <w:spacing w:line="360" w:lineRule="auto"/>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1. 定义与解释</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1.2  解释</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1.2.1 本合同文件除使用中文外，还可用</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1.2.2 约定本合同文件的解释顺序为：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sz w:val="24"/>
          <w:szCs w:val="32"/>
          <w:highlight w:val="none"/>
        </w:rPr>
        <w:t>2. 监理人义务</w:t>
      </w:r>
    </w:p>
    <w:p>
      <w:pPr>
        <w:adjustRightInd w:val="0"/>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2.1 监理的范围和</w:t>
      </w:r>
      <w:r>
        <w:rPr>
          <w:rFonts w:hint="eastAsia" w:asciiTheme="minorEastAsia" w:hAnsiTheme="minorEastAsia" w:eastAsiaTheme="minorEastAsia" w:cstheme="minorEastAsia"/>
          <w:bCs/>
          <w:sz w:val="24"/>
          <w:szCs w:val="32"/>
          <w:highlight w:val="none"/>
        </w:rPr>
        <w:t>内容</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2.1.1 监理范围包括：</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rPr>
        <w:t>2.1.2 监理工作内容还包括：</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2.2 监理与相关服务依据</w:t>
      </w:r>
    </w:p>
    <w:p>
      <w:pPr>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2.2.1 监理依据包括：</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dstrike/>
          <w:sz w:val="24"/>
          <w:highlight w:val="none"/>
        </w:rPr>
      </w:pPr>
      <w:r>
        <w:rPr>
          <w:rFonts w:hint="eastAsia" w:asciiTheme="minorEastAsia" w:hAnsiTheme="minorEastAsia" w:eastAsiaTheme="minorEastAsia" w:cstheme="minorEastAsia"/>
          <w:sz w:val="24"/>
          <w:szCs w:val="32"/>
          <w:highlight w:val="none"/>
        </w:rPr>
        <w:t>2.2.2 相关服务依据包括：</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 xml:space="preserve"> 2.3</w:t>
      </w:r>
      <w:r>
        <w:rPr>
          <w:rFonts w:hint="eastAsia" w:asciiTheme="minorEastAsia" w:hAnsiTheme="minorEastAsia" w:eastAsiaTheme="minorEastAsia" w:cstheme="minorEastAsia"/>
          <w:kern w:val="0"/>
          <w:sz w:val="24"/>
          <w:szCs w:val="32"/>
          <w:highlight w:val="none"/>
        </w:rPr>
        <w:t>项目监理机构和人员</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 xml:space="preserve">2.3.4 </w:t>
      </w:r>
      <w:r>
        <w:rPr>
          <w:rFonts w:hint="eastAsia" w:asciiTheme="minorEastAsia" w:hAnsiTheme="minorEastAsia" w:eastAsiaTheme="minorEastAsia" w:cstheme="minorEastAsia"/>
          <w:kern w:val="0"/>
          <w:sz w:val="24"/>
          <w:szCs w:val="32"/>
          <w:highlight w:val="none"/>
        </w:rPr>
        <w:t>更换监理人员的其他情形：</w:t>
      </w:r>
      <w:r>
        <w:rPr>
          <w:rFonts w:hint="eastAsia" w:asciiTheme="minorEastAsia" w:hAnsiTheme="minorEastAsia" w:eastAsiaTheme="minorEastAsia" w:cstheme="minorEastAsia"/>
          <w:kern w:val="0"/>
          <w:sz w:val="24"/>
          <w:highlight w:val="none"/>
          <w:u w:val="single"/>
        </w:rPr>
        <w:t xml:space="preserve">                      </w:t>
      </w:r>
      <w:r>
        <w:rPr>
          <w:rFonts w:hint="eastAsia" w:asciiTheme="minorEastAsia" w:hAnsiTheme="minorEastAsia" w:eastAsiaTheme="minorEastAsia" w:cstheme="minorEastAsia"/>
          <w:kern w:val="0"/>
          <w:sz w:val="24"/>
          <w:highlight w:val="none"/>
        </w:rPr>
        <w:t>。</w:t>
      </w:r>
    </w:p>
    <w:p>
      <w:pPr>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2.4 </w:t>
      </w:r>
      <w:r>
        <w:rPr>
          <w:rFonts w:hint="eastAsia" w:asciiTheme="minorEastAsia" w:hAnsiTheme="minorEastAsia" w:eastAsiaTheme="minorEastAsia" w:cstheme="minorEastAsia"/>
          <w:kern w:val="0"/>
          <w:sz w:val="24"/>
          <w:szCs w:val="32"/>
          <w:highlight w:val="none"/>
        </w:rPr>
        <w:t>履行职责</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rPr>
        <w:t>2.4.3 对监理人的授权范围：</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firstLine="480" w:firstLineChars="200"/>
        <w:outlineLvl w:val="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在涉及工程延期</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天内和（或）金额</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万元内的变更，监理人不需请示委托人即可向承包人发布变更通知。</w:t>
      </w:r>
    </w:p>
    <w:p>
      <w:pPr>
        <w:adjustRightInd w:val="0"/>
        <w:snapToGrid w:val="0"/>
        <w:spacing w:line="360" w:lineRule="auto"/>
        <w:ind w:firstLine="360" w:firstLineChars="150"/>
        <w:jc w:val="left"/>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2.4.4 监理人有权要求承包人调换其人员</w:t>
      </w:r>
      <w:r>
        <w:rPr>
          <w:rFonts w:hint="eastAsia" w:asciiTheme="minorEastAsia" w:hAnsiTheme="minorEastAsia" w:eastAsiaTheme="minorEastAsia" w:cstheme="minorEastAsia"/>
          <w:sz w:val="24"/>
          <w:szCs w:val="32"/>
          <w:highlight w:val="none"/>
        </w:rPr>
        <w:t>的限制条件：</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 xml:space="preserve"> </w:t>
      </w:r>
    </w:p>
    <w:p>
      <w:pPr>
        <w:adjustRightInd w:val="0"/>
        <w:snapToGrid w:val="0"/>
        <w:spacing w:line="360" w:lineRule="auto"/>
        <w:ind w:firstLine="120" w:firstLineChars="5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kern w:val="0"/>
          <w:sz w:val="24"/>
          <w:szCs w:val="32"/>
          <w:highlight w:val="none"/>
        </w:rPr>
        <w:t xml:space="preserve">2.5 </w:t>
      </w:r>
      <w:r>
        <w:rPr>
          <w:rFonts w:hint="eastAsia" w:asciiTheme="minorEastAsia" w:hAnsiTheme="minorEastAsia" w:eastAsiaTheme="minorEastAsia" w:cstheme="minorEastAsia"/>
          <w:sz w:val="24"/>
          <w:szCs w:val="32"/>
          <w:highlight w:val="none"/>
        </w:rPr>
        <w:t>提交</w:t>
      </w:r>
      <w:r>
        <w:rPr>
          <w:rFonts w:hint="eastAsia" w:asciiTheme="minorEastAsia" w:hAnsiTheme="minorEastAsia" w:eastAsiaTheme="minorEastAsia" w:cstheme="minorEastAsia"/>
          <w:kern w:val="0"/>
          <w:sz w:val="24"/>
          <w:szCs w:val="32"/>
          <w:highlight w:val="none"/>
        </w:rPr>
        <w:t>报告</w:t>
      </w:r>
    </w:p>
    <w:p>
      <w:pPr>
        <w:adjustRightInd w:val="0"/>
        <w:snapToGrid w:val="0"/>
        <w:spacing w:line="360" w:lineRule="auto"/>
        <w:ind w:firstLine="525"/>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监理人应提交报告的种类(</w:t>
      </w:r>
      <w:r>
        <w:rPr>
          <w:rFonts w:hint="eastAsia" w:asciiTheme="minorEastAsia" w:hAnsiTheme="minorEastAsia" w:eastAsiaTheme="minorEastAsia" w:cstheme="minorEastAsia"/>
          <w:kern w:val="0"/>
          <w:sz w:val="24"/>
          <w:szCs w:val="32"/>
          <w:highlight w:val="none"/>
        </w:rPr>
        <w:t>包括监理规划、监理月报及约定的专项报告)</w:t>
      </w:r>
      <w:r>
        <w:rPr>
          <w:rFonts w:hint="eastAsia" w:asciiTheme="minorEastAsia" w:hAnsiTheme="minorEastAsia" w:eastAsiaTheme="minorEastAsia" w:cstheme="minorEastAsia"/>
          <w:sz w:val="24"/>
          <w:szCs w:val="32"/>
          <w:highlight w:val="none"/>
        </w:rPr>
        <w:t>、时间和份数</w:t>
      </w:r>
      <w:r>
        <w:rPr>
          <w:rFonts w:hint="eastAsia" w:asciiTheme="minorEastAsia" w:hAnsiTheme="minorEastAsia" w:eastAsiaTheme="minorEastAsia" w:cstheme="minorEastAsia"/>
          <w:kern w:val="0"/>
          <w:sz w:val="24"/>
          <w:szCs w:val="32"/>
          <w:highlight w:val="none"/>
        </w:rPr>
        <w:t>：</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p>
    <w:p>
      <w:pPr>
        <w:adjustRightInd w:val="0"/>
        <w:snapToGrid w:val="0"/>
        <w:spacing w:line="360" w:lineRule="auto"/>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spacing w:line="360" w:lineRule="auto"/>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 xml:space="preserve"> 2.7 使用委托人的财产</w:t>
      </w:r>
    </w:p>
    <w:p>
      <w:pPr>
        <w:spacing w:line="360" w:lineRule="auto"/>
        <w:ind w:left="0" w:leftChars="0" w:right="0" w:rightChars="0" w:firstLine="0" w:firstLineChars="0"/>
        <w:jc w:val="both"/>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highlight w:val="none"/>
        </w:rPr>
        <w:t xml:space="preserve">     </w:t>
      </w:r>
      <w:r>
        <w:rPr>
          <w:rFonts w:hint="eastAsia" w:asciiTheme="minorEastAsia" w:hAnsiTheme="minorEastAsia" w:eastAsiaTheme="minorEastAsia" w:cstheme="minorEastAsia"/>
          <w:sz w:val="24"/>
          <w:szCs w:val="32"/>
          <w:highlight w:val="none"/>
        </w:rPr>
        <w:t>附录B中由委托人无偿提供的房屋、设备的所有权属于：</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4"/>
          <w:szCs w:val="32"/>
          <w:highlight w:val="none"/>
        </w:rPr>
        <w:t>监理人应在本合同终止后</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天内移交委托人无偿提供的房屋、设备，移交的时间和方式为：</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kern w:val="0"/>
          <w:sz w:val="24"/>
          <w:szCs w:val="32"/>
          <w:highlight w:val="none"/>
        </w:rPr>
        <w:t xml:space="preserve">3. 委托人义务  </w:t>
      </w:r>
    </w:p>
    <w:p>
      <w:pPr>
        <w:snapToGrid w:val="0"/>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kern w:val="0"/>
          <w:sz w:val="24"/>
          <w:szCs w:val="32"/>
          <w:highlight w:val="none"/>
        </w:rPr>
        <w:t>3.4 委托人代表</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委托人代表为：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235" w:firstLineChars="98"/>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3.6 答复</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委托人同意在</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天内，对监理人书面提交并要求做出决定的事宜给予书面答复。</w:t>
      </w:r>
    </w:p>
    <w:p>
      <w:pPr>
        <w:snapToGrid w:val="0"/>
        <w:spacing w:line="360" w:lineRule="auto"/>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4. 违约责任</w:t>
      </w:r>
    </w:p>
    <w:p>
      <w:pPr>
        <w:spacing w:line="360" w:lineRule="auto"/>
        <w:ind w:left="210" w:leftChars="1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4.1 监理人的违约责任</w:t>
      </w:r>
    </w:p>
    <w:p>
      <w:pPr>
        <w:adjustRightInd w:val="0"/>
        <w:snapToGrid w:val="0"/>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4.1.1监理人赔偿金额按下列方法确定：</w:t>
      </w:r>
    </w:p>
    <w:p>
      <w:pPr>
        <w:adjustRightInd w:val="0"/>
        <w:snapToGrid w:val="0"/>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sz w:val="24"/>
          <w:szCs w:val="32"/>
          <w:highlight w:val="none"/>
        </w:rPr>
        <w:t>赔偿金＝直接经济损失×正常工作酬金÷工程概算</w:t>
      </w:r>
      <w:r>
        <w:rPr>
          <w:rFonts w:hint="eastAsia" w:asciiTheme="minorEastAsia" w:hAnsiTheme="minorEastAsia" w:eastAsiaTheme="minorEastAsia" w:cstheme="minorEastAsia"/>
          <w:kern w:val="0"/>
          <w:sz w:val="24"/>
          <w:szCs w:val="32"/>
          <w:highlight w:val="none"/>
        </w:rPr>
        <w:t>投资额（或建筑安装工程费）</w:t>
      </w:r>
    </w:p>
    <w:p>
      <w:pPr>
        <w:snapToGrid w:val="0"/>
        <w:spacing w:line="360" w:lineRule="auto"/>
        <w:ind w:firstLine="240" w:firstLineChars="1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4.2 委托人的违约责任</w:t>
      </w:r>
    </w:p>
    <w:p>
      <w:pPr>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sz w:val="24"/>
          <w:szCs w:val="32"/>
          <w:highlight w:val="none"/>
        </w:rPr>
        <w:t>4.2.3 委托人</w:t>
      </w:r>
      <w:r>
        <w:rPr>
          <w:rFonts w:hint="eastAsia" w:asciiTheme="minorEastAsia" w:hAnsiTheme="minorEastAsia" w:eastAsiaTheme="minorEastAsia" w:cstheme="minorEastAsia"/>
          <w:kern w:val="0"/>
          <w:sz w:val="24"/>
          <w:szCs w:val="32"/>
          <w:highlight w:val="none"/>
        </w:rPr>
        <w:t>逾期付款利息按下列方法确定：</w:t>
      </w:r>
    </w:p>
    <w:p>
      <w:pPr>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逾期付款利息＝当期应付款总额×银行同期贷款利率×拖延支付天数</w:t>
      </w:r>
    </w:p>
    <w:p>
      <w:pPr>
        <w:snapToGrid w:val="0"/>
        <w:spacing w:line="360" w:lineRule="auto"/>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bCs/>
          <w:sz w:val="24"/>
          <w:szCs w:val="32"/>
          <w:highlight w:val="none"/>
        </w:rPr>
        <w:t>5. 支付</w:t>
      </w:r>
    </w:p>
    <w:p>
      <w:pPr>
        <w:snapToGrid w:val="0"/>
        <w:spacing w:line="360" w:lineRule="auto"/>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sz w:val="24"/>
          <w:szCs w:val="32"/>
          <w:highlight w:val="none"/>
        </w:rPr>
        <w:t xml:space="preserve"> 5.1 </w:t>
      </w:r>
      <w:r>
        <w:rPr>
          <w:rFonts w:hint="eastAsia" w:asciiTheme="minorEastAsia" w:hAnsiTheme="minorEastAsia" w:eastAsiaTheme="minorEastAsia" w:cstheme="minorEastAsia"/>
          <w:bCs/>
          <w:sz w:val="24"/>
          <w:szCs w:val="32"/>
          <w:highlight w:val="none"/>
        </w:rPr>
        <w:t>支付货币</w:t>
      </w:r>
    </w:p>
    <w:p>
      <w:pPr>
        <w:snapToGrid w:val="0"/>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币种为：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，比例为：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，汇率为：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r>
        <w:rPr>
          <w:rFonts w:hint="eastAsia" w:asciiTheme="minorEastAsia" w:hAnsiTheme="minorEastAsia" w:eastAsiaTheme="minorEastAsia" w:cstheme="minorEastAsia"/>
          <w:sz w:val="24"/>
          <w:highlight w:val="none"/>
        </w:rPr>
        <w:t xml:space="preserve"> </w:t>
      </w:r>
    </w:p>
    <w:p>
      <w:pPr>
        <w:snapToGrid w:val="0"/>
        <w:spacing w:line="360" w:lineRule="auto"/>
        <w:ind w:firstLine="240" w:firstLineChars="1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5.3 支付酬金</w:t>
      </w:r>
    </w:p>
    <w:p>
      <w:pPr>
        <w:snapToGrid w:val="0"/>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正常工作</w:t>
      </w:r>
      <w:r>
        <w:rPr>
          <w:rFonts w:hint="eastAsia" w:asciiTheme="minorEastAsia" w:hAnsiTheme="minorEastAsia" w:eastAsiaTheme="minorEastAsia" w:cstheme="minorEastAsia"/>
          <w:sz w:val="24"/>
          <w:szCs w:val="32"/>
          <w:highlight w:val="none"/>
        </w:rPr>
        <w:t>酬金的</w:t>
      </w:r>
      <w:r>
        <w:rPr>
          <w:rFonts w:hint="eastAsia" w:asciiTheme="minorEastAsia" w:hAnsiTheme="minorEastAsia" w:eastAsiaTheme="minorEastAsia" w:cstheme="minorEastAsia"/>
          <w:kern w:val="0"/>
          <w:sz w:val="24"/>
          <w:szCs w:val="32"/>
          <w:highlight w:val="none"/>
        </w:rPr>
        <w:t>支付</w:t>
      </w:r>
      <w:r>
        <w:rPr>
          <w:rFonts w:hint="eastAsia" w:asciiTheme="minorEastAsia" w:hAnsiTheme="minorEastAsia" w:eastAsiaTheme="minorEastAsia" w:cstheme="minorEastAsia"/>
          <w:sz w:val="24"/>
          <w:szCs w:val="32"/>
          <w:highlight w:val="none"/>
        </w:rPr>
        <w:t>：</w:t>
      </w:r>
    </w:p>
    <w:tbl>
      <w:tblPr>
        <w:tblStyle w:val="4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500"/>
        <w:gridCol w:w="1832"/>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center"/>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支付次数</w:t>
            </w:r>
          </w:p>
        </w:tc>
        <w:tc>
          <w:tcPr>
            <w:tcW w:w="2500" w:type="dxa"/>
            <w:noWrap w:val="0"/>
            <w:vAlign w:val="center"/>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支付时间</w:t>
            </w:r>
          </w:p>
        </w:tc>
        <w:tc>
          <w:tcPr>
            <w:tcW w:w="1832" w:type="dxa"/>
            <w:noWrap w:val="0"/>
            <w:vAlign w:val="top"/>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支付比例</w:t>
            </w:r>
          </w:p>
        </w:tc>
        <w:tc>
          <w:tcPr>
            <w:tcW w:w="3333" w:type="dxa"/>
            <w:noWrap w:val="0"/>
            <w:vAlign w:val="center"/>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首付款</w:t>
            </w:r>
          </w:p>
        </w:tc>
        <w:tc>
          <w:tcPr>
            <w:tcW w:w="2500" w:type="dxa"/>
            <w:noWrap w:val="0"/>
            <w:vAlign w:val="top"/>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本合同签订后7天内</w:t>
            </w:r>
          </w:p>
        </w:tc>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p>
        </w:tc>
        <w:tc>
          <w:tcPr>
            <w:tcW w:w="3333" w:type="dxa"/>
            <w:noWrap w:val="0"/>
            <w:vAlign w:val="top"/>
          </w:tcPr>
          <w:p>
            <w:pPr>
              <w:spacing w:line="360" w:lineRule="auto"/>
              <w:rPr>
                <w:rFonts w:hint="eastAsia" w:asciiTheme="minorEastAsia" w:hAnsiTheme="minorEastAsia" w:eastAsiaTheme="minorEastAsia" w:cstheme="minorEastAsia"/>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第二次付款</w:t>
            </w:r>
          </w:p>
        </w:tc>
        <w:tc>
          <w:tcPr>
            <w:tcW w:w="2500" w:type="dxa"/>
            <w:noWrap w:val="0"/>
            <w:vAlign w:val="top"/>
          </w:tcPr>
          <w:p>
            <w:pPr>
              <w:spacing w:line="360" w:lineRule="auto"/>
              <w:ind w:firstLine="360" w:firstLineChars="150"/>
              <w:rPr>
                <w:rFonts w:hint="eastAsia" w:asciiTheme="minorEastAsia" w:hAnsiTheme="minorEastAsia" w:eastAsiaTheme="minorEastAsia" w:cstheme="minorEastAsia"/>
                <w:sz w:val="24"/>
                <w:szCs w:val="32"/>
                <w:highlight w:val="none"/>
              </w:rPr>
            </w:pPr>
          </w:p>
        </w:tc>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p>
        </w:tc>
        <w:tc>
          <w:tcPr>
            <w:tcW w:w="3333" w:type="dxa"/>
            <w:noWrap w:val="0"/>
            <w:vAlign w:val="top"/>
          </w:tcPr>
          <w:p>
            <w:pPr>
              <w:spacing w:line="360" w:lineRule="auto"/>
              <w:ind w:firstLine="840" w:firstLineChars="350"/>
              <w:rPr>
                <w:rFonts w:hint="eastAsia" w:asciiTheme="minorEastAsia" w:hAnsiTheme="minorEastAsia" w:eastAsiaTheme="minorEastAsia" w:cstheme="minorEastAsia"/>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第三次付款</w:t>
            </w:r>
          </w:p>
        </w:tc>
        <w:tc>
          <w:tcPr>
            <w:tcW w:w="2500" w:type="dxa"/>
            <w:noWrap w:val="0"/>
            <w:vAlign w:val="top"/>
          </w:tcPr>
          <w:p>
            <w:pPr>
              <w:spacing w:line="360" w:lineRule="auto"/>
              <w:ind w:firstLine="360" w:firstLineChars="150"/>
              <w:rPr>
                <w:rFonts w:hint="eastAsia" w:asciiTheme="minorEastAsia" w:hAnsiTheme="minorEastAsia" w:eastAsiaTheme="minorEastAsia" w:cstheme="minorEastAsia"/>
                <w:sz w:val="24"/>
                <w:szCs w:val="32"/>
                <w:highlight w:val="none"/>
              </w:rPr>
            </w:pPr>
          </w:p>
        </w:tc>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p>
        </w:tc>
        <w:tc>
          <w:tcPr>
            <w:tcW w:w="3333" w:type="dxa"/>
            <w:noWrap w:val="0"/>
            <w:vAlign w:val="top"/>
          </w:tcPr>
          <w:p>
            <w:pPr>
              <w:spacing w:line="360" w:lineRule="auto"/>
              <w:rPr>
                <w:rFonts w:hint="eastAsia" w:asciiTheme="minorEastAsia" w:hAnsiTheme="minorEastAsia" w:eastAsiaTheme="minorEastAsia" w:cstheme="minorEastAsia"/>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top"/>
          </w:tcPr>
          <w:p>
            <w:pPr>
              <w:spacing w:line="360" w:lineRule="auto"/>
              <w:jc w:val="center"/>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w:t>
            </w:r>
          </w:p>
        </w:tc>
        <w:tc>
          <w:tcPr>
            <w:tcW w:w="2500" w:type="dxa"/>
            <w:noWrap w:val="0"/>
            <w:vAlign w:val="top"/>
          </w:tcPr>
          <w:p>
            <w:pPr>
              <w:spacing w:line="360" w:lineRule="auto"/>
              <w:rPr>
                <w:rFonts w:hint="eastAsia" w:asciiTheme="minorEastAsia" w:hAnsiTheme="minorEastAsia" w:eastAsiaTheme="minorEastAsia" w:cstheme="minorEastAsia"/>
                <w:sz w:val="24"/>
                <w:szCs w:val="32"/>
                <w:highlight w:val="none"/>
              </w:rPr>
            </w:pPr>
          </w:p>
        </w:tc>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p>
        </w:tc>
        <w:tc>
          <w:tcPr>
            <w:tcW w:w="3333" w:type="dxa"/>
            <w:noWrap w:val="0"/>
            <w:vAlign w:val="top"/>
          </w:tcPr>
          <w:p>
            <w:pPr>
              <w:spacing w:line="360" w:lineRule="auto"/>
              <w:rPr>
                <w:rFonts w:hint="eastAsia" w:asciiTheme="minorEastAsia" w:hAnsiTheme="minorEastAsia" w:eastAsiaTheme="minorEastAsia" w:cstheme="minorEastAsia"/>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32" w:type="dxa"/>
            <w:noWrap w:val="0"/>
            <w:vAlign w:val="top"/>
          </w:tcPr>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最后付款</w:t>
            </w:r>
          </w:p>
        </w:tc>
        <w:tc>
          <w:tcPr>
            <w:tcW w:w="2500" w:type="dxa"/>
            <w:noWrap w:val="0"/>
            <w:vAlign w:val="top"/>
          </w:tcPr>
          <w:p>
            <w:pPr>
              <w:spacing w:line="360" w:lineRule="auto"/>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监理与相关服务期届满14天内</w:t>
            </w:r>
          </w:p>
        </w:tc>
        <w:tc>
          <w:tcPr>
            <w:tcW w:w="1832" w:type="dxa"/>
            <w:noWrap w:val="0"/>
            <w:vAlign w:val="top"/>
          </w:tcPr>
          <w:p>
            <w:pPr>
              <w:spacing w:line="360" w:lineRule="auto"/>
              <w:jc w:val="center"/>
              <w:rPr>
                <w:rFonts w:hint="eastAsia" w:asciiTheme="minorEastAsia" w:hAnsiTheme="minorEastAsia" w:eastAsiaTheme="minorEastAsia" w:cstheme="minorEastAsia"/>
                <w:sz w:val="24"/>
                <w:szCs w:val="32"/>
                <w:highlight w:val="none"/>
              </w:rPr>
            </w:pPr>
          </w:p>
        </w:tc>
        <w:tc>
          <w:tcPr>
            <w:tcW w:w="3333" w:type="dxa"/>
            <w:noWrap w:val="0"/>
            <w:vAlign w:val="top"/>
          </w:tcPr>
          <w:p>
            <w:pPr>
              <w:spacing w:line="360" w:lineRule="auto"/>
              <w:jc w:val="center"/>
              <w:rPr>
                <w:rFonts w:hint="eastAsia" w:asciiTheme="minorEastAsia" w:hAnsiTheme="minorEastAsia" w:eastAsiaTheme="minorEastAsia" w:cstheme="minorEastAsia"/>
                <w:sz w:val="24"/>
                <w:szCs w:val="32"/>
                <w:highlight w:val="none"/>
              </w:rPr>
            </w:pPr>
          </w:p>
        </w:tc>
      </w:tr>
    </w:tbl>
    <w:p>
      <w:pPr>
        <w:snapToGrid w:val="0"/>
        <w:spacing w:line="360" w:lineRule="auto"/>
        <w:ind w:firstLine="480" w:firstLineChars="200"/>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highlight w:val="none"/>
        </w:rPr>
        <w:t xml:space="preserve"> </w:t>
      </w:r>
    </w:p>
    <w:p>
      <w:pPr>
        <w:snapToGrid w:val="0"/>
        <w:spacing w:line="360" w:lineRule="auto"/>
        <w:rPr>
          <w:rFonts w:hint="eastAsia" w:asciiTheme="minorEastAsia" w:hAnsiTheme="minorEastAsia" w:eastAsiaTheme="minorEastAsia" w:cstheme="minorEastAsia"/>
          <w:b/>
          <w:bCs/>
          <w:color w:val="FF0000"/>
          <w:sz w:val="24"/>
          <w:szCs w:val="32"/>
          <w:highlight w:val="none"/>
        </w:rPr>
      </w:pPr>
      <w:r>
        <w:rPr>
          <w:rFonts w:hint="eastAsia" w:asciiTheme="minorEastAsia" w:hAnsiTheme="minorEastAsia" w:eastAsiaTheme="minorEastAsia" w:cstheme="minorEastAsia"/>
          <w:bCs/>
          <w:sz w:val="24"/>
          <w:szCs w:val="32"/>
          <w:highlight w:val="none"/>
        </w:rPr>
        <w:t>6</w:t>
      </w:r>
      <w:r>
        <w:rPr>
          <w:rFonts w:hint="eastAsia" w:asciiTheme="minorEastAsia" w:hAnsiTheme="minorEastAsia" w:eastAsiaTheme="minorEastAsia" w:cstheme="minorEastAsia"/>
          <w:b/>
          <w:bCs/>
          <w:sz w:val="24"/>
          <w:szCs w:val="32"/>
          <w:highlight w:val="none"/>
        </w:rPr>
        <w:t>. 合同生效、变更、暂停、解除与终止</w:t>
      </w:r>
    </w:p>
    <w:p>
      <w:pPr>
        <w:adjustRightInd w:val="0"/>
        <w:snapToGrid w:val="0"/>
        <w:spacing w:line="360" w:lineRule="auto"/>
        <w:ind w:firstLine="240" w:firstLineChars="1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6.1 生效</w:t>
      </w:r>
    </w:p>
    <w:p>
      <w:pPr>
        <w:adjustRightInd w:val="0"/>
        <w:snapToGrid w:val="0"/>
        <w:spacing w:line="360" w:lineRule="auto"/>
        <w:ind w:firstLine="48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rPr>
        <w:t>本合同生效条件：</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 变更</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6.2.2 除不可抗力外， 因非监理人原因导致本合同期限延长时，附加工作酬金按下列方法确定：</w:t>
      </w:r>
    </w:p>
    <w:p>
      <w:pPr>
        <w:snapToGrid w:val="0"/>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附加工作</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kern w:val="0"/>
          <w:sz w:val="24"/>
          <w:szCs w:val="32"/>
          <w:highlight w:val="none"/>
        </w:rPr>
        <w:t>=</w:t>
      </w:r>
      <w:r>
        <w:rPr>
          <w:rFonts w:hint="eastAsia" w:asciiTheme="minorEastAsia" w:hAnsiTheme="minorEastAsia" w:eastAsiaTheme="minorEastAsia" w:cstheme="minorEastAsia"/>
          <w:sz w:val="24"/>
          <w:szCs w:val="32"/>
          <w:highlight w:val="none"/>
        </w:rPr>
        <w:t>本合同期限延长</w:t>
      </w:r>
      <w:r>
        <w:rPr>
          <w:rFonts w:hint="eastAsia" w:asciiTheme="minorEastAsia" w:hAnsiTheme="minorEastAsia" w:eastAsiaTheme="minorEastAsia" w:cstheme="minorEastAsia"/>
          <w:kern w:val="0"/>
          <w:sz w:val="24"/>
          <w:szCs w:val="32"/>
          <w:highlight w:val="none"/>
        </w:rPr>
        <w:t>时间（天）×正常工作酬金÷</w:t>
      </w:r>
      <w:r>
        <w:rPr>
          <w:rFonts w:hint="eastAsia" w:asciiTheme="minorEastAsia" w:hAnsiTheme="minorEastAsia" w:eastAsiaTheme="minorEastAsia" w:cstheme="minorEastAsia"/>
          <w:sz w:val="24"/>
          <w:szCs w:val="32"/>
          <w:highlight w:val="none"/>
        </w:rPr>
        <w:t>协议书约定的监理与相关服务期限</w:t>
      </w:r>
      <w:r>
        <w:rPr>
          <w:rFonts w:hint="eastAsia" w:asciiTheme="minorEastAsia" w:hAnsiTheme="minorEastAsia" w:eastAsiaTheme="minorEastAsia" w:cstheme="minorEastAsia"/>
          <w:kern w:val="0"/>
          <w:sz w:val="24"/>
          <w:szCs w:val="32"/>
          <w:highlight w:val="none"/>
        </w:rPr>
        <w:t>（天）</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6.2.3附加工作酬金按下列方法确定：</w:t>
      </w:r>
    </w:p>
    <w:p>
      <w:pPr>
        <w:snapToGrid w:val="0"/>
        <w:spacing w:line="360" w:lineRule="auto"/>
        <w:ind w:firstLine="480" w:firstLineChars="20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kern w:val="0"/>
          <w:sz w:val="24"/>
          <w:szCs w:val="32"/>
          <w:highlight w:val="none"/>
        </w:rPr>
        <w:t>附加工作</w:t>
      </w:r>
      <w:r>
        <w:rPr>
          <w:rFonts w:hint="eastAsia" w:asciiTheme="minorEastAsia" w:hAnsiTheme="minorEastAsia" w:eastAsiaTheme="minorEastAsia" w:cstheme="minorEastAsia"/>
          <w:sz w:val="24"/>
          <w:szCs w:val="32"/>
          <w:highlight w:val="none"/>
        </w:rPr>
        <w:t>酬金</w:t>
      </w:r>
      <w:r>
        <w:rPr>
          <w:rFonts w:hint="eastAsia" w:asciiTheme="minorEastAsia" w:hAnsiTheme="minorEastAsia" w:eastAsiaTheme="minorEastAsia" w:cstheme="minorEastAsia"/>
          <w:kern w:val="0"/>
          <w:sz w:val="24"/>
          <w:szCs w:val="32"/>
          <w:highlight w:val="none"/>
        </w:rPr>
        <w:t>=善后工作及恢复服务的准备工作时间（天）×正常工作酬金÷</w:t>
      </w:r>
      <w:r>
        <w:rPr>
          <w:rFonts w:hint="eastAsia" w:asciiTheme="minorEastAsia" w:hAnsiTheme="minorEastAsia" w:eastAsiaTheme="minorEastAsia" w:cstheme="minorEastAsia"/>
          <w:sz w:val="24"/>
          <w:szCs w:val="32"/>
          <w:highlight w:val="none"/>
        </w:rPr>
        <w:t>协议书约定的监理与相关服务期限</w:t>
      </w:r>
      <w:r>
        <w:rPr>
          <w:rFonts w:hint="eastAsia" w:asciiTheme="minorEastAsia" w:hAnsiTheme="minorEastAsia" w:eastAsiaTheme="minorEastAsia" w:cstheme="minorEastAsia"/>
          <w:kern w:val="0"/>
          <w:sz w:val="24"/>
          <w:szCs w:val="32"/>
          <w:highlight w:val="none"/>
        </w:rPr>
        <w:t>（天）</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6.2.5 正常工作酬金增加额按下列方法确定： </w:t>
      </w:r>
    </w:p>
    <w:p>
      <w:pPr>
        <w:adjustRightInd w:val="0"/>
        <w:snapToGrid w:val="0"/>
        <w:spacing w:line="360" w:lineRule="auto"/>
        <w:ind w:firstLine="480"/>
        <w:rPr>
          <w:rFonts w:hint="eastAsia" w:asciiTheme="minorEastAsia" w:hAnsiTheme="minorEastAsia" w:eastAsiaTheme="minorEastAsia" w:cstheme="minorEastAsia"/>
          <w:kern w:val="0"/>
          <w:sz w:val="24"/>
          <w:szCs w:val="32"/>
          <w:highlight w:val="none"/>
        </w:rPr>
      </w:pPr>
      <w:r>
        <w:rPr>
          <w:rFonts w:hint="eastAsia" w:asciiTheme="minorEastAsia" w:hAnsiTheme="minorEastAsia" w:eastAsiaTheme="minorEastAsia" w:cstheme="minorEastAsia"/>
          <w:sz w:val="24"/>
          <w:szCs w:val="32"/>
          <w:highlight w:val="none"/>
        </w:rPr>
        <w:t>正常工作酬金增加额</w:t>
      </w:r>
      <w:r>
        <w:rPr>
          <w:rFonts w:hint="eastAsia" w:asciiTheme="minorEastAsia" w:hAnsiTheme="minorEastAsia" w:eastAsiaTheme="minorEastAsia" w:cstheme="minorEastAsia"/>
          <w:kern w:val="0"/>
          <w:sz w:val="24"/>
          <w:szCs w:val="32"/>
          <w:highlight w:val="none"/>
        </w:rPr>
        <w:t>=工程投资额</w:t>
      </w:r>
      <w:r>
        <w:rPr>
          <w:rFonts w:hint="eastAsia" w:asciiTheme="minorEastAsia" w:hAnsiTheme="minorEastAsia" w:eastAsiaTheme="minorEastAsia" w:cstheme="minorEastAsia"/>
          <w:sz w:val="24"/>
          <w:szCs w:val="32"/>
          <w:highlight w:val="none"/>
        </w:rPr>
        <w:t>或建筑安装工程费</w:t>
      </w:r>
      <w:r>
        <w:rPr>
          <w:rFonts w:hint="eastAsia" w:asciiTheme="minorEastAsia" w:hAnsiTheme="minorEastAsia" w:eastAsiaTheme="minorEastAsia" w:cstheme="minorEastAsia"/>
          <w:kern w:val="0"/>
          <w:sz w:val="24"/>
          <w:szCs w:val="32"/>
          <w:highlight w:val="none"/>
        </w:rPr>
        <w:t>增加额×正常工作酬金÷工程概算投资额（或建筑安装工程费）</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Theme="minorEastAsia" w:hAnsiTheme="minorEastAsia" w:eastAsiaTheme="minorEastAsia" w:cstheme="minorEastAsia"/>
          <w:b/>
          <w:sz w:val="24"/>
          <w:szCs w:val="32"/>
          <w:highlight w:val="none"/>
        </w:rPr>
      </w:pPr>
      <w:r>
        <w:rPr>
          <w:rFonts w:hint="eastAsia" w:asciiTheme="minorEastAsia" w:hAnsiTheme="minorEastAsia" w:eastAsiaTheme="minorEastAsia" w:cstheme="minorEastAsia"/>
          <w:b/>
          <w:bCs/>
          <w:sz w:val="24"/>
          <w:szCs w:val="32"/>
          <w:highlight w:val="none"/>
        </w:rPr>
        <w:t>7. 争议解决</w:t>
      </w:r>
    </w:p>
    <w:p>
      <w:pPr>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7.2 </w:t>
      </w:r>
      <w:r>
        <w:rPr>
          <w:rFonts w:hint="eastAsia" w:asciiTheme="minorEastAsia" w:hAnsiTheme="minorEastAsia" w:eastAsiaTheme="minorEastAsia" w:cstheme="minorEastAsia"/>
          <w:bCs/>
          <w:sz w:val="24"/>
          <w:szCs w:val="32"/>
          <w:highlight w:val="none"/>
        </w:rPr>
        <w:t>调解</w:t>
      </w:r>
    </w:p>
    <w:p>
      <w:pPr>
        <w:snapToGrid w:val="0"/>
        <w:spacing w:line="360" w:lineRule="auto"/>
        <w:ind w:firstLine="470" w:firstLineChars="196"/>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本合同争议进行调解时，可提交</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进行调解。</w:t>
      </w:r>
    </w:p>
    <w:p>
      <w:pPr>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 xml:space="preserve">7.3 </w:t>
      </w:r>
      <w:r>
        <w:rPr>
          <w:rFonts w:hint="eastAsia" w:asciiTheme="minorEastAsia" w:hAnsiTheme="minorEastAsia" w:eastAsiaTheme="minorEastAsia" w:cstheme="minorEastAsia"/>
          <w:bCs/>
          <w:sz w:val="24"/>
          <w:szCs w:val="32"/>
          <w:highlight w:val="none"/>
        </w:rPr>
        <w:t>仲裁或诉讼</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合同争议的最终解决方式为下列第</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种方式：</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（1）提请</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仲裁委员会进行仲裁。</w:t>
      </w:r>
    </w:p>
    <w:p>
      <w:pPr>
        <w:adjustRightInd w:val="0"/>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（2）向</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人民法院提起诉讼。</w:t>
      </w:r>
    </w:p>
    <w:p>
      <w:pPr>
        <w:adjustRightInd w:val="0"/>
        <w:snapToGrid w:val="0"/>
        <w:spacing w:line="360" w:lineRule="auto"/>
        <w:rPr>
          <w:rFonts w:hint="eastAsia" w:asciiTheme="minorEastAsia" w:hAnsiTheme="minorEastAsia" w:eastAsiaTheme="minorEastAsia" w:cstheme="minorEastAsia"/>
          <w:b/>
          <w:bCs/>
          <w:sz w:val="24"/>
          <w:szCs w:val="32"/>
          <w:highlight w:val="none"/>
        </w:rPr>
      </w:pPr>
      <w:r>
        <w:rPr>
          <w:rFonts w:hint="eastAsia" w:asciiTheme="minorEastAsia" w:hAnsiTheme="minorEastAsia" w:eastAsiaTheme="minorEastAsia" w:cstheme="minorEastAsia"/>
          <w:b/>
          <w:bCs/>
          <w:sz w:val="24"/>
          <w:szCs w:val="32"/>
          <w:highlight w:val="none"/>
        </w:rPr>
        <w:t>8. 其他</w:t>
      </w:r>
    </w:p>
    <w:p>
      <w:pPr>
        <w:adjustRightInd w:val="0"/>
        <w:snapToGrid w:val="0"/>
        <w:spacing w:line="360" w:lineRule="auto"/>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b/>
          <w:bCs/>
          <w:sz w:val="24"/>
          <w:szCs w:val="32"/>
          <w:highlight w:val="none"/>
        </w:rPr>
        <w:t xml:space="preserve">  </w:t>
      </w:r>
      <w:r>
        <w:rPr>
          <w:rFonts w:hint="eastAsia" w:asciiTheme="minorEastAsia" w:hAnsiTheme="minorEastAsia" w:eastAsiaTheme="minorEastAsia" w:cstheme="minorEastAsia"/>
          <w:bCs/>
          <w:sz w:val="24"/>
          <w:szCs w:val="32"/>
          <w:highlight w:val="none"/>
        </w:rPr>
        <w:t>8.2 检测费用</w:t>
      </w:r>
    </w:p>
    <w:p>
      <w:pPr>
        <w:adjustRightInd w:val="0"/>
        <w:snapToGrid w:val="0"/>
        <w:spacing w:line="360" w:lineRule="auto"/>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bCs/>
          <w:sz w:val="24"/>
          <w:szCs w:val="32"/>
          <w:highlight w:val="none"/>
        </w:rPr>
        <w:t xml:space="preserve">    委托人应在检测工作完成后</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bCs/>
          <w:sz w:val="24"/>
          <w:szCs w:val="32"/>
          <w:highlight w:val="none"/>
        </w:rPr>
        <w:t>天内支付检测费用。</w:t>
      </w:r>
    </w:p>
    <w:p>
      <w:pPr>
        <w:adjustRightInd w:val="0"/>
        <w:snapToGrid w:val="0"/>
        <w:spacing w:line="360" w:lineRule="auto"/>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bCs/>
          <w:sz w:val="24"/>
          <w:szCs w:val="32"/>
          <w:highlight w:val="none"/>
        </w:rPr>
        <w:t xml:space="preserve">  8.3 咨询费用</w:t>
      </w:r>
    </w:p>
    <w:p>
      <w:pPr>
        <w:adjustRightInd w:val="0"/>
        <w:snapToGrid w:val="0"/>
        <w:spacing w:line="360" w:lineRule="auto"/>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bCs/>
          <w:sz w:val="24"/>
          <w:szCs w:val="32"/>
          <w:highlight w:val="none"/>
        </w:rPr>
        <w:t xml:space="preserve">    委托人应在咨询工作完成后</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bCs/>
          <w:sz w:val="24"/>
          <w:szCs w:val="32"/>
          <w:highlight w:val="none"/>
        </w:rPr>
        <w:t>天内支付咨询费用。</w:t>
      </w:r>
    </w:p>
    <w:p>
      <w:pPr>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8.4 奖励</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合理化建议的奖励金额按下列方法确定为：</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奖励金额＝工程投资节省额×奖励金额的比率；</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奖励金额的比率为</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rPr>
        <w:t>%。</w:t>
      </w:r>
    </w:p>
    <w:p>
      <w:pPr>
        <w:adjustRightInd w:val="0"/>
        <w:snapToGrid w:val="0"/>
        <w:spacing w:line="360" w:lineRule="auto"/>
        <w:ind w:firstLine="235" w:firstLineChars="98"/>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8.6 保密</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委托人申明的保密事项和期限：</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监理人申明的保密事项和期限：</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szCs w:val="32"/>
          <w:highlight w:val="none"/>
        </w:rPr>
        <w:t>第三方申明的保密事项和期限：</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p>
    <w:p>
      <w:pPr>
        <w:snapToGrid w:val="0"/>
        <w:spacing w:line="360" w:lineRule="auto"/>
        <w:ind w:firstLine="235" w:firstLineChars="98"/>
        <w:rPr>
          <w:rFonts w:hint="eastAsia" w:asciiTheme="minorEastAsia" w:hAnsiTheme="minorEastAsia" w:eastAsiaTheme="minorEastAsia" w:cstheme="minorEastAsia"/>
          <w:bCs/>
          <w:sz w:val="24"/>
          <w:szCs w:val="32"/>
          <w:highlight w:val="none"/>
        </w:rPr>
      </w:pPr>
      <w:r>
        <w:rPr>
          <w:rFonts w:hint="eastAsia" w:asciiTheme="minorEastAsia" w:hAnsiTheme="minorEastAsia" w:eastAsiaTheme="minorEastAsia" w:cstheme="minorEastAsia"/>
          <w:sz w:val="24"/>
          <w:szCs w:val="32"/>
          <w:highlight w:val="none"/>
        </w:rPr>
        <w:t>8.8</w:t>
      </w:r>
      <w:r>
        <w:rPr>
          <w:rFonts w:hint="eastAsia" w:asciiTheme="minorEastAsia" w:hAnsiTheme="minorEastAsia" w:eastAsiaTheme="minorEastAsia" w:cstheme="minorEastAsia"/>
          <w:bCs/>
          <w:sz w:val="24"/>
          <w:szCs w:val="32"/>
          <w:highlight w:val="none"/>
        </w:rPr>
        <w:t>著作权</w:t>
      </w:r>
    </w:p>
    <w:p>
      <w:pPr>
        <w:snapToGrid w:val="0"/>
        <w:spacing w:line="360" w:lineRule="auto"/>
        <w:ind w:firstLine="480" w:firstLineChars="2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监理人在本合同履行期间及本合同终止后两年内出版涉及本工程的有关监理与相关服务的资料的限制条件：</w:t>
      </w:r>
    </w:p>
    <w:p>
      <w:pPr>
        <w:adjustRightInd w:val="0"/>
        <w:snapToGrid w:val="0"/>
        <w:spacing w:before="156" w:beforeLines="50" w:after="156" w:afterLines="50" w:line="360" w:lineRule="auto"/>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before="156" w:beforeLines="50" w:after="156" w:afterLines="50"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highlight w:val="none"/>
        </w:rPr>
        <w:t>。</w:t>
      </w:r>
    </w:p>
    <w:p>
      <w:pPr>
        <w:adjustRightInd w:val="0"/>
        <w:snapToGrid w:val="0"/>
        <w:spacing w:before="156" w:beforeLines="50" w:after="156" w:afterLines="50" w:line="360" w:lineRule="auto"/>
        <w:ind w:firstLine="240" w:firstLineChars="100"/>
        <w:rPr>
          <w:rFonts w:hint="eastAsia" w:asciiTheme="minorEastAsia" w:hAnsiTheme="minorEastAsia" w:eastAsiaTheme="minorEastAsia" w:cstheme="minorEastAsia"/>
          <w:sz w:val="24"/>
          <w:szCs w:val="32"/>
          <w:highlight w:val="none"/>
        </w:rPr>
      </w:pPr>
      <w:r>
        <w:rPr>
          <w:rFonts w:hint="eastAsia" w:asciiTheme="minorEastAsia" w:hAnsiTheme="minorEastAsia" w:eastAsiaTheme="minorEastAsia" w:cstheme="minorEastAsia"/>
          <w:sz w:val="24"/>
          <w:szCs w:val="32"/>
          <w:highlight w:val="none"/>
        </w:rPr>
        <w:t>9. 补充条款</w:t>
      </w:r>
    </w:p>
    <w:p>
      <w:pPr>
        <w:adjustRightInd w:val="0"/>
        <w:snapToGrid w:val="0"/>
        <w:spacing w:before="156" w:beforeLines="50" w:after="156" w:afterLines="50" w:line="360" w:lineRule="auto"/>
        <w:rPr>
          <w:rFonts w:hint="eastAsia" w:asciiTheme="minorEastAsia" w:hAnsiTheme="minorEastAsia" w:eastAsiaTheme="minorEastAsia" w:cstheme="minorEastAsia"/>
          <w:sz w:val="24"/>
          <w:szCs w:val="32"/>
          <w:highlight w:val="none"/>
          <w:u w:val="singl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p>
    <w:p>
      <w:pPr>
        <w:adjustRightInd w:val="0"/>
        <w:snapToGrid w:val="0"/>
        <w:spacing w:before="156" w:beforeLines="50" w:after="156" w:afterLines="50"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szCs w:val="32"/>
          <w:highlight w:val="none"/>
          <w:u w:val="single"/>
          <w:lang w:val="en-US" w:eastAsia="zh-CN"/>
        </w:rPr>
        <w:t xml:space="preserve">                      </w:t>
      </w:r>
      <w:r>
        <w:rPr>
          <w:rFonts w:hint="eastAsia" w:asciiTheme="minorEastAsia" w:hAnsiTheme="minorEastAsia" w:eastAsiaTheme="minorEastAsia" w:cstheme="minorEastAsia"/>
          <w:sz w:val="24"/>
          <w:szCs w:val="32"/>
          <w:highlight w:val="none"/>
          <w:u w:val="single"/>
        </w:rPr>
        <w:t xml:space="preserve">                      </w:t>
      </w:r>
      <w:r>
        <w:rPr>
          <w:rFonts w:hint="eastAsia" w:asciiTheme="minorEastAsia" w:hAnsiTheme="minorEastAsia" w:eastAsiaTheme="minorEastAsia" w:cstheme="minorEastAsia"/>
          <w:sz w:val="24"/>
          <w:highlight w:val="none"/>
        </w:rPr>
        <w:t>。</w:t>
      </w:r>
    </w:p>
    <w:p>
      <w:pP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br w:type="page"/>
      </w:r>
    </w:p>
    <w:p>
      <w:pPr>
        <w:spacing w:line="500" w:lineRule="exact"/>
        <w:jc w:val="left"/>
        <w:rPr>
          <w:rFonts w:hint="eastAsia" w:asciiTheme="minorEastAsia" w:hAnsiTheme="minorEastAsia" w:eastAsiaTheme="minorEastAsia" w:cstheme="minorEastAsia"/>
          <w:color w:val="auto"/>
          <w:sz w:val="32"/>
          <w:highlight w:val="none"/>
        </w:rPr>
      </w:pPr>
    </w:p>
    <w:p>
      <w:pPr>
        <w:spacing w:line="20" w:lineRule="exact"/>
        <w:jc w:val="left"/>
        <w:rPr>
          <w:rFonts w:hint="eastAsia" w:asciiTheme="minorEastAsia" w:hAnsiTheme="minorEastAsia" w:eastAsiaTheme="minorEastAsia" w:cstheme="minorEastAsia"/>
          <w:color w:val="auto"/>
          <w:highlight w:val="none"/>
        </w:rPr>
      </w:pPr>
    </w:p>
    <w:bookmarkEnd w:id="77"/>
    <w:p>
      <w:pPr>
        <w:pStyle w:val="8"/>
        <w:numPr>
          <w:ilvl w:val="0"/>
          <w:numId w:val="5"/>
        </w:numPr>
        <w:ind w:firstLine="723"/>
        <w:jc w:val="center"/>
        <w:rPr>
          <w:rFonts w:hint="eastAsia" w:asciiTheme="minorEastAsia" w:hAnsiTheme="minorEastAsia" w:eastAsiaTheme="minorEastAsia" w:cstheme="minorEastAsia"/>
          <w:color w:val="auto"/>
          <w:highlight w:val="none"/>
        </w:rPr>
      </w:pPr>
      <w:bookmarkStart w:id="78" w:name="_Toc397510404"/>
      <w:bookmarkStart w:id="79" w:name="_Toc472594392"/>
      <w:r>
        <w:rPr>
          <w:rFonts w:hint="eastAsia" w:asciiTheme="minorEastAsia" w:hAnsiTheme="minorEastAsia" w:eastAsiaTheme="minorEastAsia" w:cstheme="minorEastAsia"/>
          <w:color w:val="auto"/>
          <w:highlight w:val="none"/>
        </w:rPr>
        <w:t>投标文件格式</w:t>
      </w:r>
      <w:bookmarkEnd w:id="78"/>
      <w:bookmarkEnd w:id="79"/>
    </w:p>
    <w:p>
      <w:pPr>
        <w:jc w:val="right"/>
        <w:rPr>
          <w:rFonts w:hint="eastAsia" w:asciiTheme="minorEastAsia" w:hAnsiTheme="minorEastAsia" w:eastAsiaTheme="minorEastAsia" w:cstheme="minorEastAsia"/>
          <w:b/>
          <w:color w:val="auto"/>
          <w:sz w:val="44"/>
          <w:highlight w:val="none"/>
        </w:rPr>
      </w:pPr>
      <w:bookmarkStart w:id="80" w:name="_Toc400611816"/>
      <w:bookmarkStart w:id="81" w:name="_Toc308378047"/>
      <w:bookmarkStart w:id="82" w:name="_Toc472594394"/>
      <w:bookmarkStart w:id="83" w:name="_Toc427393018"/>
      <w:bookmarkStart w:id="84" w:name="_Toc191983682"/>
      <w:bookmarkStart w:id="85" w:name="_Toc398757786"/>
      <w:bookmarkStart w:id="86" w:name="_Toc259710341"/>
      <w:bookmarkStart w:id="87" w:name="_Toc399077935"/>
      <w:bookmarkStart w:id="88" w:name="_Toc251745246"/>
      <w:r>
        <w:rPr>
          <w:rFonts w:hint="eastAsia" w:asciiTheme="minorEastAsia" w:hAnsiTheme="minorEastAsia" w:eastAsiaTheme="minorEastAsia" w:cstheme="minorEastAsia"/>
          <w:b/>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lang w:val="en-US" w:eastAsia="zh-CN"/>
        </w:rPr>
        <w:t>平顶山东部客运枢纽站项目施工及监理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   标段）</w:t>
      </w:r>
    </w:p>
    <w:p>
      <w:pPr>
        <w:spacing w:line="360" w:lineRule="auto"/>
        <w:jc w:val="center"/>
        <w:rPr>
          <w:rFonts w:hint="eastAsia" w:asciiTheme="minorEastAsia" w:hAnsiTheme="minorEastAsia" w:eastAsiaTheme="minorEastAsia" w:cstheme="minorEastAsia"/>
          <w:b/>
          <w:color w:val="auto"/>
          <w:sz w:val="32"/>
          <w:szCs w:val="32"/>
          <w:highlight w:val="none"/>
        </w:rPr>
      </w:pPr>
    </w:p>
    <w:p>
      <w:pPr>
        <w:pStyle w:val="56"/>
        <w:rPr>
          <w:rFonts w:hint="eastAsia" w:asciiTheme="minorEastAsia" w:hAnsiTheme="minorEastAsia" w:eastAsiaTheme="minorEastAsia" w:cstheme="minorEastAsia"/>
          <w:bCs/>
          <w:color w:val="auto"/>
          <w:sz w:val="32"/>
          <w:szCs w:val="32"/>
          <w:highlight w:val="none"/>
        </w:rPr>
      </w:pPr>
    </w:p>
    <w:p>
      <w:pPr>
        <w:spacing w:line="360" w:lineRule="auto"/>
        <w:jc w:val="center"/>
        <w:rPr>
          <w:rFonts w:hint="eastAsia" w:asciiTheme="minorEastAsia" w:hAnsiTheme="minorEastAsia" w:eastAsiaTheme="minorEastAsia" w:cstheme="minorEastAsia"/>
          <w:b/>
          <w:bCs/>
          <w:color w:val="auto"/>
          <w:sz w:val="72"/>
          <w:szCs w:val="72"/>
          <w:highlight w:val="none"/>
        </w:rPr>
      </w:pPr>
      <w:bookmarkStart w:id="89" w:name="_Toc15999_WPSOffice_Level1"/>
      <w:r>
        <w:rPr>
          <w:rFonts w:hint="eastAsia" w:asciiTheme="minorEastAsia" w:hAnsiTheme="minorEastAsia" w:eastAsiaTheme="minorEastAsia" w:cstheme="minorEastAsia"/>
          <w:b/>
          <w:bCs/>
          <w:color w:val="auto"/>
          <w:sz w:val="72"/>
          <w:szCs w:val="72"/>
          <w:highlight w:val="none"/>
        </w:rPr>
        <w:t>投</w:t>
      </w:r>
      <w:r>
        <w:rPr>
          <w:rFonts w:hint="eastAsia" w:asciiTheme="minorEastAsia" w:hAnsiTheme="minorEastAsia" w:eastAsiaTheme="minorEastAsia" w:cstheme="minorEastAsia"/>
          <w:b/>
          <w:bCs/>
          <w:color w:val="auto"/>
          <w:sz w:val="72"/>
          <w:szCs w:val="72"/>
          <w:highlight w:val="none"/>
        </w:rPr>
        <w:tab/>
      </w:r>
      <w:r>
        <w:rPr>
          <w:rFonts w:hint="eastAsia" w:asciiTheme="minorEastAsia" w:hAnsiTheme="minorEastAsia" w:eastAsiaTheme="minorEastAsia" w:cstheme="minorEastAsia"/>
          <w:b/>
          <w:bCs/>
          <w:color w:val="auto"/>
          <w:sz w:val="72"/>
          <w:szCs w:val="72"/>
          <w:highlight w:val="none"/>
        </w:rPr>
        <w:t>标</w:t>
      </w:r>
      <w:r>
        <w:rPr>
          <w:rFonts w:hint="eastAsia" w:asciiTheme="minorEastAsia" w:hAnsiTheme="minorEastAsia" w:eastAsiaTheme="minorEastAsia" w:cstheme="minorEastAsia"/>
          <w:b/>
          <w:bCs/>
          <w:color w:val="auto"/>
          <w:sz w:val="72"/>
          <w:szCs w:val="72"/>
          <w:highlight w:val="none"/>
        </w:rPr>
        <w:tab/>
      </w:r>
      <w:r>
        <w:rPr>
          <w:rFonts w:hint="eastAsia" w:asciiTheme="minorEastAsia" w:hAnsiTheme="minorEastAsia" w:eastAsiaTheme="minorEastAsia" w:cstheme="minorEastAsia"/>
          <w:b/>
          <w:bCs/>
          <w:color w:val="auto"/>
          <w:sz w:val="72"/>
          <w:szCs w:val="72"/>
          <w:highlight w:val="none"/>
        </w:rPr>
        <w:t>文</w:t>
      </w:r>
      <w:r>
        <w:rPr>
          <w:rFonts w:hint="eastAsia" w:asciiTheme="minorEastAsia" w:hAnsiTheme="minorEastAsia" w:eastAsiaTheme="minorEastAsia" w:cstheme="minorEastAsia"/>
          <w:b/>
          <w:bCs/>
          <w:color w:val="auto"/>
          <w:sz w:val="72"/>
          <w:szCs w:val="72"/>
          <w:highlight w:val="none"/>
        </w:rPr>
        <w:tab/>
      </w:r>
      <w:r>
        <w:rPr>
          <w:rFonts w:hint="eastAsia" w:asciiTheme="minorEastAsia" w:hAnsiTheme="minorEastAsia" w:eastAsiaTheme="minorEastAsia" w:cstheme="minorEastAsia"/>
          <w:b/>
          <w:bCs/>
          <w:color w:val="auto"/>
          <w:sz w:val="72"/>
          <w:szCs w:val="72"/>
          <w:highlight w:val="none"/>
        </w:rPr>
        <w:t>件</w:t>
      </w:r>
      <w:bookmarkEnd w:id="89"/>
    </w:p>
    <w:p>
      <w:pPr>
        <w:spacing w:line="360" w:lineRule="auto"/>
        <w:ind w:firstLine="3640" w:firstLineChars="1300"/>
        <w:rPr>
          <w:rFonts w:hint="eastAsia" w:asciiTheme="minorEastAsia" w:hAnsiTheme="minorEastAsia" w:eastAsiaTheme="minorEastAsia" w:cstheme="minorEastAsia"/>
          <w:color w:val="auto"/>
          <w:sz w:val="28"/>
          <w:szCs w:val="28"/>
          <w:highlight w:val="none"/>
          <w:u w:val="single"/>
        </w:rPr>
      </w:pPr>
      <w:bookmarkStart w:id="90" w:name="_Toc4844_WPSOffice_Level1"/>
      <w:r>
        <w:rPr>
          <w:rFonts w:hint="eastAsia" w:asciiTheme="minorEastAsia" w:hAnsiTheme="minorEastAsia" w:eastAsiaTheme="minorEastAsia" w:cstheme="minorEastAsia"/>
          <w:bCs/>
          <w:color w:val="auto"/>
          <w:sz w:val="28"/>
          <w:szCs w:val="28"/>
          <w:highlight w:val="none"/>
          <w:lang w:val="en-US" w:eastAsia="zh-CN"/>
        </w:rPr>
        <w:t>项目</w:t>
      </w:r>
      <w:r>
        <w:rPr>
          <w:rFonts w:hint="eastAsia" w:asciiTheme="minorEastAsia" w:hAnsiTheme="minorEastAsia" w:eastAsiaTheme="minorEastAsia" w:cstheme="minorEastAsia"/>
          <w:bCs/>
          <w:color w:val="auto"/>
          <w:sz w:val="28"/>
          <w:szCs w:val="28"/>
          <w:highlight w:val="none"/>
        </w:rPr>
        <w:t>编号</w:t>
      </w:r>
      <w:r>
        <w:rPr>
          <w:rFonts w:hint="eastAsia" w:asciiTheme="minorEastAsia" w:hAnsiTheme="minorEastAsia" w:eastAsiaTheme="minorEastAsia" w:cstheme="minorEastAsia"/>
          <w:color w:val="auto"/>
          <w:sz w:val="28"/>
          <w:szCs w:val="28"/>
          <w:highlight w:val="none"/>
        </w:rPr>
        <w:t>：</w:t>
      </w:r>
      <w:bookmarkEnd w:id="90"/>
    </w:p>
    <w:p>
      <w:pPr>
        <w:spacing w:line="360" w:lineRule="auto"/>
        <w:ind w:firstLine="560" w:firstLineChars="200"/>
        <w:rPr>
          <w:rFonts w:hint="eastAsia" w:asciiTheme="minorEastAsia" w:hAnsiTheme="minorEastAsia" w:eastAsiaTheme="minorEastAsia" w:cstheme="minorEastAsia"/>
          <w:color w:val="auto"/>
          <w:sz w:val="28"/>
          <w:szCs w:val="28"/>
          <w:highlight w:val="none"/>
        </w:rPr>
      </w:pPr>
    </w:p>
    <w:p>
      <w:pPr>
        <w:spacing w:line="360" w:lineRule="auto"/>
        <w:ind w:firstLine="560" w:firstLineChars="200"/>
        <w:rPr>
          <w:rFonts w:hint="eastAsia" w:asciiTheme="minorEastAsia" w:hAnsiTheme="minorEastAsia" w:eastAsiaTheme="minorEastAsia" w:cstheme="minorEastAsia"/>
          <w:color w:val="auto"/>
          <w:sz w:val="28"/>
          <w:szCs w:val="28"/>
          <w:highlight w:val="none"/>
        </w:rPr>
      </w:pPr>
    </w:p>
    <w:p>
      <w:pPr>
        <w:spacing w:line="36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jc w:val="center"/>
        <w:rPr>
          <w:rFonts w:hint="eastAsia" w:asciiTheme="minorEastAsia" w:hAnsiTheme="minorEastAsia" w:eastAsiaTheme="minorEastAsia" w:cstheme="minorEastAsia"/>
          <w:color w:val="auto"/>
          <w:sz w:val="28"/>
          <w:szCs w:val="28"/>
          <w:highlight w:val="none"/>
        </w:rPr>
      </w:pPr>
    </w:p>
    <w:p>
      <w:pPr>
        <w:pStyle w:val="56"/>
        <w:rPr>
          <w:rFonts w:hint="eastAsia" w:asciiTheme="minorEastAsia" w:hAnsiTheme="minorEastAsia" w:eastAsiaTheme="minorEastAsia" w:cstheme="minorEastAsia"/>
          <w:color w:val="auto"/>
          <w:sz w:val="28"/>
          <w:szCs w:val="28"/>
          <w:highlight w:val="none"/>
        </w:rPr>
      </w:pPr>
    </w:p>
    <w:p>
      <w:pPr>
        <w:spacing w:line="360" w:lineRule="auto"/>
        <w:jc w:val="center"/>
        <w:rPr>
          <w:rFonts w:hint="eastAsia" w:asciiTheme="minorEastAsia" w:hAnsiTheme="minorEastAsia" w:eastAsiaTheme="minorEastAsia" w:cstheme="minorEastAsia"/>
          <w:color w:val="auto"/>
          <w:sz w:val="28"/>
          <w:szCs w:val="28"/>
          <w:highlight w:val="none"/>
        </w:rPr>
      </w:pPr>
    </w:p>
    <w:p>
      <w:pPr>
        <w:spacing w:line="360" w:lineRule="auto"/>
        <w:ind w:firstLine="1680" w:firstLineChars="600"/>
        <w:rPr>
          <w:rFonts w:hint="eastAsia" w:asciiTheme="minorEastAsia" w:hAnsiTheme="minorEastAsia" w:eastAsiaTheme="minorEastAsia" w:cstheme="minorEastAsia"/>
          <w:color w:val="auto"/>
          <w:sz w:val="28"/>
          <w:szCs w:val="28"/>
          <w:highlight w:val="none"/>
          <w:u w:val="single"/>
        </w:rPr>
      </w:pPr>
      <w:bookmarkStart w:id="91" w:name="_Toc27562_WPSOffice_Level1"/>
      <w:r>
        <w:rPr>
          <w:rFonts w:hint="eastAsia" w:asciiTheme="minorEastAsia" w:hAnsiTheme="minorEastAsia" w:eastAsiaTheme="minorEastAsia" w:cstheme="minorEastAsia"/>
          <w:color w:val="auto"/>
          <w:sz w:val="28"/>
          <w:szCs w:val="28"/>
          <w:highlight w:val="none"/>
        </w:rPr>
        <w:t xml:space="preserve">投标人：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（电子签章）</w:t>
      </w:r>
      <w:bookmarkEnd w:id="91"/>
      <w:r>
        <w:rPr>
          <w:rFonts w:hint="eastAsia" w:asciiTheme="minorEastAsia" w:hAnsiTheme="minorEastAsia" w:eastAsiaTheme="minorEastAsia" w:cstheme="minorEastAsia"/>
          <w:color w:val="auto"/>
          <w:sz w:val="28"/>
          <w:szCs w:val="28"/>
          <w:highlight w:val="none"/>
        </w:rPr>
        <w:t xml:space="preserve">  </w:t>
      </w:r>
    </w:p>
    <w:p>
      <w:pPr>
        <w:spacing w:line="360" w:lineRule="auto"/>
        <w:jc w:val="center"/>
        <w:rPr>
          <w:rFonts w:hint="eastAsia" w:asciiTheme="minorEastAsia" w:hAnsiTheme="minorEastAsia" w:eastAsiaTheme="minorEastAsia" w:cstheme="minorEastAsia"/>
          <w:color w:val="auto"/>
          <w:sz w:val="28"/>
          <w:szCs w:val="28"/>
          <w:highlight w:val="none"/>
        </w:rPr>
      </w:pPr>
      <w:bookmarkStart w:id="92" w:name="_Toc1807_WPSOffice_Level1"/>
      <w:r>
        <w:rPr>
          <w:rFonts w:hint="eastAsia" w:asciiTheme="minorEastAsia" w:hAnsiTheme="minorEastAsia" w:eastAsiaTheme="minorEastAsia" w:cstheme="minorEastAsia"/>
          <w:color w:val="auto"/>
          <w:sz w:val="28"/>
          <w:szCs w:val="28"/>
          <w:highlight w:val="none"/>
        </w:rPr>
        <w:t xml:space="preserve">法定代表人或其委托代理人：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（电子签章或签字）</w:t>
      </w:r>
      <w:bookmarkEnd w:id="92"/>
    </w:p>
    <w:p>
      <w:pPr>
        <w:spacing w:line="360" w:lineRule="auto"/>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28"/>
          <w:szCs w:val="28"/>
          <w:highlight w:val="none"/>
        </w:rPr>
        <w:t xml:space="preserve">     </w:t>
      </w:r>
      <w:bookmarkStart w:id="93" w:name="_Toc3319_WPSOffice_Level1"/>
      <w:r>
        <w:rPr>
          <w:rFonts w:hint="eastAsia" w:asciiTheme="minorEastAsia" w:hAnsiTheme="minorEastAsia" w:eastAsiaTheme="minorEastAsia" w:cstheme="minorEastAsia"/>
          <w:color w:val="auto"/>
          <w:sz w:val="28"/>
          <w:szCs w:val="28"/>
          <w:highlight w:val="none"/>
        </w:rPr>
        <w:t>年   月   日</w:t>
      </w:r>
      <w:bookmarkEnd w:id="93"/>
    </w:p>
    <w:p>
      <w:pPr>
        <w:pStyle w:val="8"/>
        <w:ind w:firstLine="602"/>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br w:type="page"/>
      </w:r>
      <w:r>
        <w:rPr>
          <w:rFonts w:hint="eastAsia" w:asciiTheme="minorEastAsia" w:hAnsiTheme="minorEastAsia" w:eastAsiaTheme="minorEastAsia" w:cstheme="minorEastAsia"/>
          <w:color w:val="auto"/>
          <w:sz w:val="30"/>
          <w:szCs w:val="30"/>
          <w:highlight w:val="none"/>
        </w:rPr>
        <w:t>目  录</w:t>
      </w:r>
      <w:bookmarkEnd w:id="80"/>
      <w:bookmarkEnd w:id="81"/>
      <w:bookmarkEnd w:id="82"/>
      <w:bookmarkEnd w:id="83"/>
      <w:bookmarkEnd w:id="84"/>
      <w:bookmarkEnd w:id="85"/>
      <w:bookmarkEnd w:id="86"/>
      <w:bookmarkEnd w:id="87"/>
      <w:bookmarkEnd w:id="88"/>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一、投标函及投标函附录</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二、法定代表人资格证明书</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三、授权委托书</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四、监理大纲</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五、项目管理机构</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六、投标人基本情况表</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七、资格证明资料</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八、投标保证金缴付凭证（汇款凭证原件的图片（或扫描件））</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九、其他材料</w:t>
      </w: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pPr>
    </w:p>
    <w:p>
      <w:pPr>
        <w:tabs>
          <w:tab w:val="left" w:pos="709"/>
        </w:tabs>
        <w:spacing w:line="800" w:lineRule="exact"/>
        <w:ind w:firstLine="1620" w:firstLineChars="675"/>
        <w:rPr>
          <w:rFonts w:hint="eastAsia" w:asciiTheme="minorEastAsia" w:hAnsiTheme="minorEastAsia" w:eastAsiaTheme="minorEastAsia" w:cstheme="minorEastAsia"/>
          <w:color w:val="auto"/>
          <w:sz w:val="24"/>
          <w:highlight w:val="none"/>
        </w:rPr>
        <w:sectPr>
          <w:footerReference r:id="rId10" w:type="default"/>
          <w:pgSz w:w="11906" w:h="16838"/>
          <w:pgMar w:top="1440" w:right="1080" w:bottom="1440" w:left="1080" w:header="1020" w:footer="850" w:gutter="0"/>
          <w:pgNumType w:fmt="decimal"/>
          <w:cols w:space="720" w:num="1"/>
          <w:docGrid w:type="lines" w:linePitch="312" w:charSpace="0"/>
        </w:sectPr>
      </w:pPr>
    </w:p>
    <w:p>
      <w:pPr>
        <w:keepNext/>
        <w:keepLines/>
        <w:spacing w:line="600" w:lineRule="exact"/>
        <w:jc w:val="center"/>
        <w:outlineLvl w:val="2"/>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一、投标函及投标函附录</w:t>
      </w:r>
    </w:p>
    <w:p>
      <w:pPr>
        <w:keepNext/>
        <w:keepLines/>
        <w:spacing w:before="260" w:after="260" w:line="413" w:lineRule="auto"/>
        <w:jc w:val="center"/>
        <w:outlineLvl w:val="2"/>
        <w:rPr>
          <w:rFonts w:hint="eastAsia" w:asciiTheme="minorEastAsia" w:hAnsiTheme="minorEastAsia" w:eastAsiaTheme="minorEastAsia" w:cstheme="minorEastAsia"/>
          <w:b/>
          <w:bCs/>
          <w:color w:val="auto"/>
          <w:sz w:val="24"/>
          <w:highlight w:val="none"/>
        </w:rPr>
      </w:pPr>
      <w:bookmarkStart w:id="94" w:name="_Toc191983684"/>
      <w:bookmarkStart w:id="95" w:name="_Toc222289682"/>
      <w:bookmarkStart w:id="96" w:name="_Toc259710343"/>
      <w:bookmarkStart w:id="97" w:name="_Toc308378049"/>
      <w:bookmarkStart w:id="98" w:name="_Toc215644307"/>
      <w:bookmarkStart w:id="99" w:name="_Toc398757788"/>
      <w:bookmarkStart w:id="100" w:name="_Toc308377389"/>
      <w:bookmarkStart w:id="101" w:name="_Toc229209233"/>
      <w:bookmarkStart w:id="102" w:name="_Toc229283348"/>
      <w:bookmarkStart w:id="103" w:name="_Toc400611818"/>
      <w:bookmarkStart w:id="104" w:name="_Toc251745248"/>
      <w:bookmarkStart w:id="105" w:name="_Toc399077937"/>
      <w:r>
        <w:rPr>
          <w:rFonts w:hint="eastAsia" w:asciiTheme="minorEastAsia" w:hAnsiTheme="minorEastAsia" w:eastAsiaTheme="minorEastAsia" w:cstheme="minorEastAsia"/>
          <w:b/>
          <w:bCs/>
          <w:color w:val="auto"/>
          <w:sz w:val="24"/>
          <w:highlight w:val="none"/>
        </w:rPr>
        <w:t>（一）投标函</w:t>
      </w:r>
      <w:bookmarkEnd w:id="94"/>
      <w:bookmarkEnd w:id="95"/>
      <w:bookmarkEnd w:id="96"/>
      <w:bookmarkEnd w:id="97"/>
      <w:bookmarkEnd w:id="98"/>
      <w:bookmarkEnd w:id="99"/>
      <w:bookmarkEnd w:id="100"/>
      <w:bookmarkEnd w:id="101"/>
      <w:bookmarkEnd w:id="102"/>
      <w:bookmarkEnd w:id="103"/>
      <w:bookmarkEnd w:id="104"/>
      <w:bookmarkEnd w:id="105"/>
    </w:p>
    <w:p>
      <w:pPr>
        <w:pStyle w:val="43"/>
        <w:keepNext w:val="0"/>
        <w:keepLines w:val="0"/>
        <w:widowControl/>
        <w:suppressLineNumbers w:val="0"/>
        <w:rPr>
          <w:rFonts w:hint="eastAsia"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（招标人名称）：</w:t>
      </w:r>
      <w:r>
        <w:rPr>
          <w:rFonts w:hint="eastAsia" w:asciiTheme="minorEastAsia" w:hAnsiTheme="minorEastAsia" w:eastAsiaTheme="minorEastAsia" w:cstheme="minorEastAsia"/>
          <w:highlight w:val="none"/>
          <w:u w:val="single"/>
          <w:lang w:val="en-US" w:eastAsia="zh-CN"/>
        </w:rPr>
        <w:t xml:space="preserve">         </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1．我方已仔细阅读了（项目名称</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lang w:eastAsia="zh-CN"/>
        </w:rPr>
        <w:t>标段</w:t>
      </w:r>
      <w:r>
        <w:rPr>
          <w:rFonts w:hint="eastAsia" w:asciiTheme="minorEastAsia" w:hAnsiTheme="minorEastAsia" w:eastAsiaTheme="minorEastAsia" w:cstheme="minorEastAsia"/>
          <w:highlight w:val="none"/>
          <w:lang w:val="en-US" w:eastAsia="zh-CN"/>
        </w:rPr>
        <w:t>)</w:t>
      </w:r>
      <w:r>
        <w:rPr>
          <w:rFonts w:hint="eastAsia" w:asciiTheme="minorEastAsia" w:hAnsiTheme="minorEastAsia" w:eastAsiaTheme="minorEastAsia" w:cstheme="minorEastAsia"/>
          <w:highlight w:val="none"/>
        </w:rPr>
        <w:t>招标文件的全部内容，愿意以人民币元（大写）</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（小写）：</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元 的监理服务费报价并按技术规范、招标文件、合同条款的要求对上述工程进行建设监理，工期控制目标</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，监理服务质量符合《工程施工质量验收规范》及国家规定的相关质量要求。</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2．如我方中标：</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（1）我方愿意承担该工程招标范围内的监理任务，履行招标文件中对中标单位的要求及应承担的责任和义务。</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（2）我方承诺派出（姓名）</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（监理工程师</w:t>
      </w:r>
      <w:r>
        <w:rPr>
          <w:rFonts w:hint="eastAsia" w:asciiTheme="minorEastAsia" w:hAnsiTheme="minorEastAsia" w:eastAsiaTheme="minorEastAsia" w:cstheme="minorEastAsia"/>
          <w:highlight w:val="none"/>
          <w:lang w:val="en-US" w:eastAsia="zh-CN"/>
        </w:rPr>
        <w:t>注册</w:t>
      </w:r>
      <w:r>
        <w:rPr>
          <w:rFonts w:hint="eastAsia" w:asciiTheme="minorEastAsia" w:hAnsiTheme="minorEastAsia" w:eastAsiaTheme="minorEastAsia" w:cstheme="minorEastAsia"/>
          <w:highlight w:val="none"/>
        </w:rPr>
        <w:t>号：</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，作为本工程的项目总监理工程师。</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 我方同意所递交的投标文件在投标有效期内有效，在此期间内我方的投标如果中标，我方将受此约束。</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4</w:t>
      </w:r>
      <w:r>
        <w:rPr>
          <w:rFonts w:hint="eastAsia" w:asciiTheme="minorEastAsia" w:hAnsiTheme="minorEastAsia" w:eastAsiaTheme="minorEastAsia" w:cstheme="minorEastAsia"/>
          <w:highlight w:val="none"/>
        </w:rPr>
        <w:t>．我方在此声明，所递交的投标文件及有关资料内容完整、真实和准确。</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w:t>
      </w:r>
    </w:p>
    <w:p>
      <w:pPr>
        <w:pStyle w:val="43"/>
        <w:keepNext w:val="0"/>
        <w:keepLines w:val="0"/>
        <w:widowControl/>
        <w:suppressLineNumbers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w:t>
      </w:r>
    </w:p>
    <w:p>
      <w:pPr>
        <w:pStyle w:val="43"/>
        <w:keepNext w:val="0"/>
        <w:keepLines w:val="0"/>
        <w:widowControl/>
        <w:suppressLineNumbers w:val="0"/>
        <w:jc w:val="righ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投标人： </w:t>
      </w:r>
      <w:r>
        <w:rPr>
          <w:rFonts w:hint="eastAsia" w:asciiTheme="minorEastAsia" w:hAnsiTheme="minorEastAsia" w:eastAsiaTheme="minorEastAsia" w:cstheme="minorEastAsia"/>
          <w:highlight w:val="none"/>
          <w:u w:val="single"/>
        </w:rPr>
        <w:t>（盖单位章）</w:t>
      </w:r>
    </w:p>
    <w:p>
      <w:pPr>
        <w:pStyle w:val="43"/>
        <w:keepNext w:val="0"/>
        <w:keepLines w:val="0"/>
        <w:widowControl/>
        <w:suppressLineNumbers w:val="0"/>
        <w:jc w:val="righ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法定代表人或委托代理人：</w:t>
      </w:r>
      <w:r>
        <w:rPr>
          <w:rFonts w:hint="eastAsia" w:asciiTheme="minorEastAsia" w:hAnsiTheme="minorEastAsia" w:eastAsiaTheme="minorEastAsia" w:cstheme="minorEastAsia"/>
          <w:highlight w:val="none"/>
          <w:u w:val="single"/>
        </w:rPr>
        <w:t xml:space="preserve">（签字或盖章） </w:t>
      </w:r>
    </w:p>
    <w:p>
      <w:pPr>
        <w:pStyle w:val="43"/>
        <w:keepNext w:val="0"/>
        <w:keepLines w:val="0"/>
        <w:widowControl/>
        <w:suppressLineNumbers w:val="0"/>
        <w:ind w:left="540"/>
        <w:jc w:val="righ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年</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月</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日</w:t>
      </w:r>
    </w:p>
    <w:p>
      <w:pPr>
        <w:spacing w:line="440" w:lineRule="exact"/>
        <w:ind w:firstLine="420" w:firstLineChars="200"/>
        <w:rPr>
          <w:rFonts w:hint="eastAsia" w:asciiTheme="minorEastAsia" w:hAnsiTheme="minorEastAsia" w:eastAsiaTheme="minorEastAsia" w:cstheme="minorEastAsia"/>
          <w:color w:val="auto"/>
          <w:highlight w:val="none"/>
        </w:rPr>
      </w:pPr>
    </w:p>
    <w:p>
      <w:pPr>
        <w:spacing w:line="360" w:lineRule="auto"/>
        <w:ind w:firstLine="435"/>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br w:type="page"/>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（二）投标函附录</w:t>
      </w:r>
    </w:p>
    <w:tbl>
      <w:tblPr>
        <w:tblStyle w:val="47"/>
        <w:tblpPr w:leftFromText="180" w:rightFromText="180" w:vertAnchor="text" w:horzAnchor="page" w:tblpX="1645" w:tblpY="737"/>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798"/>
        <w:gridCol w:w="1835"/>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标段</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投标报价</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元</w:t>
            </w:r>
            <w:r>
              <w:rPr>
                <w:rFonts w:hint="eastAsia" w:asciiTheme="minorEastAsia" w:hAnsiTheme="minorEastAsia" w:eastAsiaTheme="minorEastAsia" w:cstheme="minorEastAsia"/>
                <w:color w:val="auto"/>
                <w:sz w:val="24"/>
                <w:highlight w:val="none"/>
                <w:lang w:eastAsia="zh-CN"/>
              </w:rPr>
              <w:t>）</w:t>
            </w:r>
          </w:p>
        </w:tc>
        <w:tc>
          <w:tcPr>
            <w:tcW w:w="6542" w:type="dxa"/>
            <w:gridSpan w:val="3"/>
            <w:noWrap w:val="0"/>
            <w:vAlign w:val="center"/>
          </w:tcPr>
          <w:p>
            <w:pPr>
              <w:tabs>
                <w:tab w:val="center" w:pos="2970"/>
              </w:tabs>
              <w:spacing w:line="360" w:lineRule="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小写：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vMerge w:val="restart"/>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项目总监理工程师</w:t>
            </w:r>
          </w:p>
        </w:tc>
        <w:tc>
          <w:tcPr>
            <w:tcW w:w="1798"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p>
        </w:tc>
        <w:tc>
          <w:tcPr>
            <w:tcW w:w="1835"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职称</w:t>
            </w:r>
          </w:p>
        </w:tc>
        <w:tc>
          <w:tcPr>
            <w:tcW w:w="2909"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监理工程师</w:t>
            </w:r>
            <w:r>
              <w:rPr>
                <w:rFonts w:hint="eastAsia" w:asciiTheme="minorEastAsia" w:hAnsiTheme="minorEastAsia" w:eastAsiaTheme="minorEastAsia" w:cstheme="minorEastAsia"/>
                <w:color w:val="auto"/>
                <w:sz w:val="24"/>
                <w:highlight w:val="none"/>
                <w:lang w:val="en-US" w:eastAsia="zh-CN"/>
              </w:rPr>
              <w:t>注册</w:t>
            </w:r>
            <w:r>
              <w:rPr>
                <w:rFonts w:hint="eastAsia" w:asciiTheme="minorEastAsia" w:hAnsiTheme="minorEastAsia" w:eastAsiaTheme="minorEastAsia" w:cstheme="minorEastAsia"/>
                <w:color w:val="auto"/>
                <w:sz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97" w:type="dxa"/>
            <w:vMerge w:val="continue"/>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798"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835"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909"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质量控制目标</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工期控制目标</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97" w:type="dxa"/>
            <w:noWrap w:val="0"/>
            <w:vAlign w:val="center"/>
          </w:tcPr>
          <w:p>
            <w:pPr>
              <w:autoSpaceDE w:val="0"/>
              <w:autoSpaceDN w:val="0"/>
              <w:adjustRightInd w:val="0"/>
              <w:spacing w:line="400" w:lineRule="exact"/>
              <w:ind w:left="38" w:leftChars="18"/>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kern w:val="0"/>
                <w:sz w:val="24"/>
                <w:szCs w:val="24"/>
                <w:highlight w:val="none"/>
              </w:rPr>
              <w:t>投标有效期</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597"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监理期平均</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监理人数</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97"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c>
          <w:tcPr>
            <w:tcW w:w="6542" w:type="dxa"/>
            <w:gridSpan w:val="3"/>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bl>
    <w:p>
      <w:pPr>
        <w:pStyle w:val="71"/>
        <w:tabs>
          <w:tab w:val="clear" w:pos="425"/>
        </w:tabs>
        <w:ind w:left="0" w:firstLine="0"/>
        <w:rPr>
          <w:rFonts w:hint="eastAsia" w:asciiTheme="minorEastAsia" w:hAnsiTheme="minorEastAsia" w:eastAsiaTheme="minorEastAsia" w:cstheme="minorEastAsia"/>
          <w:color w:val="auto"/>
          <w:highlight w:val="none"/>
        </w:rPr>
      </w:pPr>
    </w:p>
    <w:p>
      <w:pPr>
        <w:wordWrap w:val="0"/>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（电子签章）</w:t>
      </w:r>
    </w:p>
    <w:p>
      <w:pPr>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（电子签章）</w:t>
      </w:r>
    </w:p>
    <w:p>
      <w:pPr>
        <w:spacing w:line="360" w:lineRule="auto"/>
        <w:ind w:firstLine="480" w:firstLineChars="20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pacing w:line="360" w:lineRule="auto"/>
        <w:ind w:firstLine="435"/>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1906" w:h="16838"/>
          <w:pgMar w:top="1440" w:right="1080" w:bottom="1440" w:left="1080" w:header="1020" w:footer="850" w:gutter="0"/>
          <w:pgNumType w:fmt="decimal"/>
          <w:cols w:space="720" w:num="1"/>
          <w:docGrid w:type="lines" w:linePitch="312" w:charSpace="0"/>
        </w:sectPr>
      </w:pPr>
    </w:p>
    <w:p>
      <w:pPr>
        <w:pStyle w:val="8"/>
        <w:ind w:firstLine="562"/>
        <w:jc w:val="center"/>
        <w:rPr>
          <w:rFonts w:hint="eastAsia" w:asciiTheme="minorEastAsia" w:hAnsiTheme="minorEastAsia" w:eastAsiaTheme="minorEastAsia" w:cstheme="minorEastAsia"/>
          <w:color w:val="auto"/>
          <w:sz w:val="28"/>
          <w:szCs w:val="28"/>
          <w:highlight w:val="none"/>
        </w:rPr>
      </w:pPr>
      <w:bookmarkStart w:id="106" w:name="_Toc191983686"/>
      <w:bookmarkStart w:id="107" w:name="_Toc399077939"/>
      <w:bookmarkStart w:id="108" w:name="_Toc400611820"/>
      <w:bookmarkStart w:id="109" w:name="_Toc427393020"/>
      <w:bookmarkStart w:id="110" w:name="_Toc472594395"/>
      <w:r>
        <w:rPr>
          <w:rFonts w:hint="eastAsia" w:asciiTheme="minorEastAsia" w:hAnsiTheme="minorEastAsia" w:eastAsiaTheme="minorEastAsia" w:cstheme="minorEastAsia"/>
          <w:color w:val="auto"/>
          <w:sz w:val="28"/>
          <w:szCs w:val="28"/>
          <w:highlight w:val="none"/>
        </w:rPr>
        <w:t>二、法定代表人</w:t>
      </w:r>
      <w:bookmarkEnd w:id="106"/>
      <w:bookmarkEnd w:id="107"/>
      <w:bookmarkEnd w:id="108"/>
      <w:r>
        <w:rPr>
          <w:rFonts w:hint="eastAsia" w:asciiTheme="minorEastAsia" w:hAnsiTheme="minorEastAsia" w:eastAsiaTheme="minorEastAsia" w:cstheme="minorEastAsia"/>
          <w:color w:val="auto"/>
          <w:sz w:val="28"/>
          <w:szCs w:val="28"/>
          <w:highlight w:val="none"/>
        </w:rPr>
        <w:t>资格证明书</w:t>
      </w:r>
      <w:bookmarkEnd w:id="109"/>
      <w:bookmarkEnd w:id="110"/>
    </w:p>
    <w:p>
      <w:pPr>
        <w:rPr>
          <w:rFonts w:hint="eastAsia" w:asciiTheme="minorEastAsia" w:hAnsiTheme="minorEastAsia" w:eastAsiaTheme="minorEastAsia" w:cstheme="minorEastAsia"/>
          <w:color w:val="auto"/>
          <w:highlight w:val="none"/>
        </w:rPr>
      </w:pP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投标人名称：</w:t>
      </w:r>
      <w:r>
        <w:rPr>
          <w:rFonts w:hint="eastAsia" w:asciiTheme="minorEastAsia" w:hAnsiTheme="minorEastAsia" w:eastAsiaTheme="minorEastAsia" w:cstheme="minorEastAsia"/>
          <w:color w:val="auto"/>
          <w:sz w:val="24"/>
          <w:highlight w:val="none"/>
          <w:u w:val="single"/>
        </w:rPr>
        <w:t xml:space="preserve">                                </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单位性质：</w:t>
      </w:r>
      <w:r>
        <w:rPr>
          <w:rFonts w:hint="eastAsia" w:asciiTheme="minorEastAsia" w:hAnsiTheme="minorEastAsia" w:eastAsiaTheme="minorEastAsia" w:cstheme="minorEastAsia"/>
          <w:color w:val="auto"/>
          <w:sz w:val="24"/>
          <w:highlight w:val="none"/>
          <w:u w:val="single"/>
        </w:rPr>
        <w:t xml:space="preserve">                                  </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单位地址：</w:t>
      </w:r>
      <w:r>
        <w:rPr>
          <w:rFonts w:hint="eastAsia" w:asciiTheme="minorEastAsia" w:hAnsiTheme="minorEastAsia" w:eastAsiaTheme="minorEastAsia" w:cstheme="minorEastAsia"/>
          <w:color w:val="auto"/>
          <w:sz w:val="24"/>
          <w:highlight w:val="none"/>
          <w:u w:val="single"/>
        </w:rPr>
        <w:t xml:space="preserve">                                  </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成立时间：</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pacing w:line="600" w:lineRule="exact"/>
        <w:ind w:firstLine="638" w:firstLineChars="266"/>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经营期限：</w:t>
      </w:r>
      <w:r>
        <w:rPr>
          <w:rFonts w:hint="eastAsia" w:asciiTheme="minorEastAsia" w:hAnsiTheme="minorEastAsia" w:eastAsiaTheme="minorEastAsia" w:cstheme="minorEastAsia"/>
          <w:color w:val="auto"/>
          <w:sz w:val="24"/>
          <w:highlight w:val="none"/>
          <w:u w:val="single"/>
        </w:rPr>
        <w:t xml:space="preserve">                                  </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性别：</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职务：</w:t>
      </w:r>
      <w:r>
        <w:rPr>
          <w:rFonts w:hint="eastAsia" w:asciiTheme="minorEastAsia" w:hAnsiTheme="minorEastAsia" w:eastAsiaTheme="minorEastAsia" w:cstheme="minorEastAsia"/>
          <w:color w:val="auto"/>
          <w:sz w:val="24"/>
          <w:highlight w:val="none"/>
          <w:u w:val="single"/>
        </w:rPr>
        <w:t xml:space="preserve">      </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（投标人名称）的法定代表人。</w:t>
      </w:r>
    </w:p>
    <w:p>
      <w:pPr>
        <w:spacing w:line="600" w:lineRule="exact"/>
        <w:ind w:firstLine="638" w:firstLineChars="26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spacing w:line="600" w:lineRule="exact"/>
        <w:ind w:firstLine="638" w:firstLineChars="266"/>
        <w:rPr>
          <w:rFonts w:hint="eastAsia" w:asciiTheme="minorEastAsia" w:hAnsiTheme="minorEastAsia" w:eastAsiaTheme="minorEastAsia" w:cstheme="minorEastAsia"/>
          <w:color w:val="auto"/>
          <w:sz w:val="24"/>
          <w:highlight w:val="none"/>
        </w:rPr>
      </w:pPr>
    </w:p>
    <w:p>
      <w:pPr>
        <w:spacing w:line="600" w:lineRule="exact"/>
        <w:ind w:firstLine="638" w:firstLineChars="266"/>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（电子签章）</w:t>
      </w:r>
    </w:p>
    <w:p>
      <w:pPr>
        <w:spacing w:line="600" w:lineRule="exact"/>
        <w:jc w:val="right"/>
        <w:rPr>
          <w:rFonts w:hint="eastAsia" w:asciiTheme="minorEastAsia" w:hAnsiTheme="minorEastAsia" w:eastAsiaTheme="minorEastAsia" w:cstheme="minorEastAsia"/>
          <w:color w:val="auto"/>
          <w:sz w:val="24"/>
          <w:highlight w:val="none"/>
        </w:rPr>
      </w:pPr>
    </w:p>
    <w:p>
      <w:pPr>
        <w:spacing w:line="600" w:lineRule="exact"/>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420"/>
        <w:rPr>
          <w:rFonts w:hint="eastAsia" w:asciiTheme="minorEastAsia" w:hAnsiTheme="minorEastAsia" w:eastAsiaTheme="minorEastAsia" w:cstheme="minorEastAsia"/>
          <w:color w:val="auto"/>
          <w:highlight w:val="none"/>
        </w:rPr>
        <w:sectPr>
          <w:pgSz w:w="11906" w:h="16838"/>
          <w:pgMar w:top="1440" w:right="1080" w:bottom="1440" w:left="1080" w:header="1020" w:footer="850" w:gutter="0"/>
          <w:pgNumType w:fmt="decimal"/>
          <w:cols w:space="720" w:num="1"/>
          <w:docGrid w:type="lines" w:linePitch="312" w:charSpace="0"/>
        </w:sectPr>
      </w:pPr>
    </w:p>
    <w:p>
      <w:pPr>
        <w:pStyle w:val="8"/>
        <w:ind w:firstLine="562"/>
        <w:jc w:val="center"/>
        <w:rPr>
          <w:rFonts w:hint="eastAsia" w:asciiTheme="minorEastAsia" w:hAnsiTheme="minorEastAsia" w:eastAsiaTheme="minorEastAsia" w:cstheme="minorEastAsia"/>
          <w:color w:val="auto"/>
          <w:sz w:val="28"/>
          <w:szCs w:val="28"/>
          <w:highlight w:val="none"/>
        </w:rPr>
      </w:pPr>
      <w:bookmarkStart w:id="111" w:name="_Toc399077940"/>
      <w:bookmarkStart w:id="112" w:name="_Toc191983687"/>
      <w:bookmarkStart w:id="113" w:name="_Toc400611821"/>
      <w:bookmarkStart w:id="114" w:name="_Toc472594396"/>
      <w:bookmarkStart w:id="115" w:name="_Toc427393021"/>
      <w:r>
        <w:rPr>
          <w:rFonts w:hint="eastAsia" w:asciiTheme="minorEastAsia" w:hAnsiTheme="minorEastAsia" w:eastAsiaTheme="minorEastAsia" w:cstheme="minorEastAsia"/>
          <w:color w:val="auto"/>
          <w:sz w:val="28"/>
          <w:szCs w:val="28"/>
          <w:highlight w:val="none"/>
        </w:rPr>
        <w:t>三、授权委托书</w:t>
      </w:r>
      <w:bookmarkEnd w:id="111"/>
      <w:bookmarkEnd w:id="112"/>
      <w:bookmarkEnd w:id="113"/>
      <w:bookmarkEnd w:id="114"/>
      <w:bookmarkEnd w:id="115"/>
    </w:p>
    <w:p>
      <w:pPr>
        <w:rPr>
          <w:rFonts w:hint="eastAsia" w:asciiTheme="minorEastAsia" w:hAnsiTheme="minorEastAsia" w:eastAsiaTheme="minorEastAsia" w:cstheme="minorEastAsia"/>
          <w:color w:val="auto"/>
          <w:highlight w:val="none"/>
        </w:rPr>
      </w:pPr>
    </w:p>
    <w:p>
      <w:pPr>
        <w:spacing w:line="6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（姓名）系</w:t>
      </w:r>
      <w:r>
        <w:rPr>
          <w:rFonts w:hint="eastAsia" w:asciiTheme="minorEastAsia" w:hAnsiTheme="minorEastAsia" w:eastAsiaTheme="minorEastAsia" w:cstheme="minorEastAsia"/>
          <w:color w:val="auto"/>
          <w:sz w:val="24"/>
          <w:highlight w:val="none"/>
          <w:u w:val="single"/>
        </w:rPr>
        <w:t xml:space="preserve">      （投标人名称）    </w:t>
      </w:r>
      <w:r>
        <w:rPr>
          <w:rFonts w:hint="eastAsia" w:asciiTheme="minorEastAsia" w:hAnsiTheme="minorEastAsia" w:eastAsiaTheme="minorEastAsia" w:cstheme="minorEastAsia"/>
          <w:color w:val="auto"/>
          <w:sz w:val="24"/>
          <w:highlight w:val="none"/>
        </w:rPr>
        <w:t>的法定代表人，现委托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（姓名）为我方代理人。代理人根据授权，以我方名义签署、澄清、说明、补正、递交、撤回、 修改 </w:t>
      </w:r>
      <w:r>
        <w:rPr>
          <w:rFonts w:hint="eastAsia" w:asciiTheme="minorEastAsia" w:hAnsiTheme="minorEastAsia" w:eastAsiaTheme="minorEastAsia" w:cstheme="minorEastAsia"/>
          <w:color w:val="auto"/>
          <w:sz w:val="24"/>
          <w:highlight w:val="none"/>
          <w:u w:val="single"/>
        </w:rPr>
        <w:t xml:space="preserve">     （项目名称）          （标段）</w:t>
      </w:r>
      <w:r>
        <w:rPr>
          <w:rFonts w:hint="eastAsia" w:asciiTheme="minorEastAsia" w:hAnsiTheme="minorEastAsia" w:eastAsiaTheme="minorEastAsia" w:cstheme="minorEastAsia"/>
          <w:color w:val="auto"/>
          <w:sz w:val="24"/>
          <w:highlight w:val="none"/>
        </w:rPr>
        <w:t>的监理投标文件、签订合同和处理有关事宜，其法律后果由我方承担。</w:t>
      </w:r>
    </w:p>
    <w:p>
      <w:pPr>
        <w:spacing w:line="6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委托期限：</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代理人无转委托权。 </w:t>
      </w:r>
    </w:p>
    <w:p>
      <w:pPr>
        <w:spacing w:line="6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附：法定代表人身份证原件的图片（或扫描件）</w:t>
      </w:r>
    </w:p>
    <w:p>
      <w:pPr>
        <w:spacing w:line="600" w:lineRule="exact"/>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委托代理人身份证原件的图片（或扫描件）</w:t>
      </w: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p>
    <w:p>
      <w:pPr>
        <w:spacing w:line="600" w:lineRule="exact"/>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（电子签章）</w:t>
      </w:r>
    </w:p>
    <w:p>
      <w:pPr>
        <w:spacing w:line="600" w:lineRule="exact"/>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（电子签章）</w:t>
      </w:r>
    </w:p>
    <w:p>
      <w:pPr>
        <w:spacing w:line="600" w:lineRule="exact"/>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身份证号码：</w:t>
      </w:r>
      <w:r>
        <w:rPr>
          <w:rFonts w:hint="eastAsia" w:asciiTheme="minorEastAsia" w:hAnsiTheme="minorEastAsia" w:eastAsiaTheme="minorEastAsia" w:cstheme="minorEastAsia"/>
          <w:color w:val="auto"/>
          <w:sz w:val="24"/>
          <w:highlight w:val="none"/>
          <w:u w:val="single"/>
        </w:rPr>
        <w:t xml:space="preserve">                </w:t>
      </w:r>
    </w:p>
    <w:p>
      <w:pPr>
        <w:spacing w:line="600" w:lineRule="exact"/>
        <w:rPr>
          <w:rFonts w:hint="eastAsia" w:asciiTheme="minorEastAsia" w:hAnsiTheme="minorEastAsia" w:eastAsiaTheme="minorEastAsia" w:cstheme="minorEastAsia"/>
          <w:color w:val="auto"/>
          <w:sz w:val="24"/>
          <w:highlight w:val="none"/>
        </w:rPr>
      </w:pPr>
    </w:p>
    <w:p>
      <w:pPr>
        <w:spacing w:line="6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 xml:space="preserve">      年      月       日</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8"/>
        <w:ind w:firstLine="562"/>
        <w:jc w:val="center"/>
        <w:rPr>
          <w:rFonts w:hint="eastAsia" w:asciiTheme="minorEastAsia" w:hAnsiTheme="minorEastAsia" w:eastAsiaTheme="minorEastAsia" w:cstheme="minorEastAsia"/>
          <w:color w:val="auto"/>
          <w:sz w:val="28"/>
          <w:szCs w:val="28"/>
          <w:highlight w:val="none"/>
        </w:rPr>
      </w:pPr>
      <w:bookmarkStart w:id="116" w:name="_Toc399077941"/>
      <w:bookmarkStart w:id="117" w:name="_Toc400611823"/>
      <w:bookmarkStart w:id="118" w:name="_Toc427393022"/>
      <w:bookmarkStart w:id="119" w:name="_Toc472594397"/>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sz w:val="28"/>
          <w:szCs w:val="28"/>
          <w:highlight w:val="none"/>
        </w:rPr>
        <w:t>四、监理大纲</w:t>
      </w:r>
      <w:bookmarkEnd w:id="116"/>
      <w:bookmarkEnd w:id="117"/>
      <w:bookmarkEnd w:id="118"/>
      <w:bookmarkEnd w:id="119"/>
    </w:p>
    <w:p>
      <w:pPr>
        <w:rPr>
          <w:rFonts w:hint="eastAsia" w:asciiTheme="minorEastAsia" w:hAnsiTheme="minorEastAsia" w:eastAsiaTheme="minorEastAsia" w:cstheme="minorEastAsia"/>
          <w:color w:val="auto"/>
          <w:highlight w:val="none"/>
        </w:rPr>
      </w:pPr>
    </w:p>
    <w:p>
      <w:pPr>
        <w:pStyle w:val="8"/>
        <w:ind w:firstLine="562"/>
        <w:jc w:val="center"/>
        <w:rPr>
          <w:rFonts w:hint="eastAsia" w:asciiTheme="minorEastAsia" w:hAnsiTheme="minorEastAsia" w:eastAsiaTheme="minorEastAsia" w:cstheme="minorEastAsia"/>
          <w:color w:val="auto"/>
          <w:sz w:val="28"/>
          <w:szCs w:val="28"/>
          <w:highlight w:val="none"/>
        </w:rPr>
      </w:pPr>
      <w:bookmarkStart w:id="120" w:name="_Toc472594398"/>
      <w:bookmarkStart w:id="121" w:name="_Toc427393023"/>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sz w:val="28"/>
          <w:szCs w:val="28"/>
          <w:highlight w:val="none"/>
        </w:rPr>
        <w:t>五、项目管理机构</w:t>
      </w:r>
      <w:bookmarkEnd w:id="120"/>
      <w:bookmarkEnd w:id="121"/>
    </w:p>
    <w:p>
      <w:pPr>
        <w:keepNext/>
        <w:keepLines/>
        <w:spacing w:before="260" w:after="260" w:line="413" w:lineRule="auto"/>
        <w:outlineLvl w:val="2"/>
        <w:rPr>
          <w:rFonts w:hint="eastAsia" w:asciiTheme="minorEastAsia" w:hAnsiTheme="minorEastAsia" w:eastAsiaTheme="minorEastAsia" w:cstheme="minorEastAsia"/>
          <w:b/>
          <w:bCs/>
          <w:color w:val="auto"/>
          <w:sz w:val="24"/>
          <w:highlight w:val="none"/>
        </w:rPr>
      </w:pPr>
      <w:bookmarkStart w:id="122" w:name="_Toc308377396"/>
      <w:bookmarkStart w:id="123" w:name="_Toc229209239"/>
      <w:bookmarkStart w:id="124" w:name="_Toc191983699"/>
      <w:bookmarkStart w:id="125" w:name="_Toc229283354"/>
      <w:bookmarkStart w:id="126" w:name="_Toc222289688"/>
      <w:bookmarkStart w:id="127" w:name="_Toc259710348"/>
      <w:bookmarkStart w:id="128" w:name="_Toc308378056"/>
      <w:bookmarkStart w:id="129" w:name="_Toc398757794"/>
      <w:bookmarkStart w:id="130" w:name="_Toc400611825"/>
      <w:bookmarkStart w:id="131" w:name="_Toc215644313"/>
      <w:bookmarkStart w:id="132" w:name="_Toc399077943"/>
      <w:bookmarkStart w:id="133" w:name="_Toc251745254"/>
      <w:r>
        <w:rPr>
          <w:rFonts w:hint="eastAsia" w:asciiTheme="minorEastAsia" w:hAnsiTheme="minorEastAsia" w:eastAsiaTheme="minorEastAsia" w:cstheme="minorEastAsia"/>
          <w:b/>
          <w:bCs/>
          <w:color w:val="auto"/>
          <w:sz w:val="24"/>
          <w:highlight w:val="none"/>
        </w:rPr>
        <w:t>（一）项目管理机构组成表</w:t>
      </w:r>
      <w:bookmarkEnd w:id="122"/>
      <w:bookmarkEnd w:id="123"/>
      <w:bookmarkEnd w:id="124"/>
      <w:bookmarkEnd w:id="125"/>
      <w:bookmarkEnd w:id="126"/>
      <w:bookmarkEnd w:id="127"/>
      <w:bookmarkEnd w:id="128"/>
      <w:bookmarkEnd w:id="129"/>
      <w:bookmarkEnd w:id="130"/>
      <w:bookmarkEnd w:id="131"/>
      <w:bookmarkEnd w:id="132"/>
      <w:bookmarkEnd w:id="133"/>
    </w:p>
    <w:tbl>
      <w:tblPr>
        <w:tblStyle w:val="47"/>
        <w:tblW w:w="9000" w:type="dxa"/>
        <w:jc w:val="center"/>
        <w:tblLayout w:type="fixed"/>
        <w:tblCellMar>
          <w:top w:w="0" w:type="dxa"/>
          <w:left w:w="0" w:type="dxa"/>
          <w:bottom w:w="0" w:type="dxa"/>
          <w:right w:w="0" w:type="dxa"/>
        </w:tblCellMar>
      </w:tblPr>
      <w:tblGrid>
        <w:gridCol w:w="1075"/>
        <w:gridCol w:w="2039"/>
        <w:gridCol w:w="1692"/>
        <w:gridCol w:w="1313"/>
        <w:gridCol w:w="979"/>
        <w:gridCol w:w="987"/>
        <w:gridCol w:w="915"/>
      </w:tblGrid>
      <w:tr>
        <w:tblPrEx>
          <w:tblCellMar>
            <w:top w:w="0" w:type="dxa"/>
            <w:left w:w="0" w:type="dxa"/>
            <w:bottom w:w="0" w:type="dxa"/>
            <w:right w:w="0" w:type="dxa"/>
          </w:tblCellMar>
        </w:tblPrEx>
        <w:trPr>
          <w:trHeight w:val="759" w:hRule="atLeast"/>
          <w:jc w:val="center"/>
        </w:trPr>
        <w:tc>
          <w:tcPr>
            <w:tcW w:w="10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职务</w:t>
            </w:r>
          </w:p>
        </w:tc>
        <w:tc>
          <w:tcPr>
            <w:tcW w:w="203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p>
        </w:tc>
        <w:tc>
          <w:tcPr>
            <w:tcW w:w="169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职称</w:t>
            </w:r>
          </w:p>
        </w:tc>
        <w:tc>
          <w:tcPr>
            <w:tcW w:w="3279" w:type="dxa"/>
            <w:gridSpan w:val="3"/>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执业或职业资格证明</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r>
      <w:tr>
        <w:tblPrEx>
          <w:tblCellMar>
            <w:top w:w="0" w:type="dxa"/>
            <w:left w:w="0" w:type="dxa"/>
            <w:bottom w:w="0" w:type="dxa"/>
            <w:right w:w="0" w:type="dxa"/>
          </w:tblCellMar>
        </w:tblPrEx>
        <w:trPr>
          <w:trHeight w:val="759" w:hRule="atLeast"/>
          <w:jc w:val="center"/>
        </w:trPr>
        <w:tc>
          <w:tcPr>
            <w:tcW w:w="10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证书名称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49"/>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证号</w:t>
            </w:r>
          </w:p>
        </w:tc>
        <w:tc>
          <w:tcPr>
            <w:tcW w:w="987"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专业</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59" w:hRule="atLeast"/>
          <w:jc w:val="center"/>
        </w:trPr>
        <w:tc>
          <w:tcPr>
            <w:tcW w:w="107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bl>
    <w:p>
      <w:pPr>
        <w:autoSpaceDE w:val="0"/>
        <w:autoSpaceDN w:val="0"/>
        <w:adjustRightInd w:val="0"/>
        <w:spacing w:line="420" w:lineRule="exact"/>
        <w:jc w:val="left"/>
        <w:rPr>
          <w:rFonts w:hint="eastAsia" w:asciiTheme="minorEastAsia" w:hAnsiTheme="minorEastAsia" w:eastAsiaTheme="minorEastAsia" w:cstheme="minorEastAsia"/>
          <w:b/>
          <w:bCs/>
          <w:color w:val="auto"/>
          <w:kern w:val="0"/>
          <w:highlight w:val="none"/>
        </w:rPr>
      </w:pPr>
    </w:p>
    <w:p>
      <w:pPr>
        <w:keepNext/>
        <w:keepLines/>
        <w:spacing w:before="260" w:after="260" w:line="413" w:lineRule="auto"/>
        <w:outlineLvl w:val="2"/>
        <w:rPr>
          <w:rFonts w:hint="eastAsia" w:asciiTheme="minorEastAsia" w:hAnsiTheme="minorEastAsia" w:eastAsiaTheme="minorEastAsia" w:cstheme="minorEastAsia"/>
          <w:b/>
          <w:bCs/>
          <w:color w:val="auto"/>
          <w:sz w:val="24"/>
          <w:highlight w:val="none"/>
        </w:rPr>
      </w:pPr>
      <w:bookmarkStart w:id="134" w:name="_Toc400611826"/>
      <w:bookmarkStart w:id="135" w:name="_Toc215644314"/>
      <w:bookmarkStart w:id="136" w:name="_Toc251745255"/>
      <w:bookmarkStart w:id="137" w:name="_Toc229209240"/>
      <w:bookmarkStart w:id="138" w:name="_Toc191983700"/>
      <w:bookmarkStart w:id="139" w:name="_Toc229283355"/>
      <w:bookmarkStart w:id="140" w:name="_Toc398757795"/>
      <w:bookmarkStart w:id="141" w:name="_Toc308378057"/>
      <w:bookmarkStart w:id="142" w:name="_Toc308377397"/>
      <w:bookmarkStart w:id="143" w:name="_Toc399077944"/>
      <w:bookmarkStart w:id="144" w:name="_Toc259710349"/>
      <w:bookmarkStart w:id="145" w:name="_Toc222289689"/>
    </w:p>
    <w:p>
      <w:pPr>
        <w:keepNext/>
        <w:keepLines/>
        <w:spacing w:before="260" w:after="260" w:line="413" w:lineRule="auto"/>
        <w:outlineLvl w:val="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（二）主要人员简历表</w:t>
      </w:r>
      <w:bookmarkEnd w:id="134"/>
      <w:bookmarkEnd w:id="135"/>
      <w:bookmarkEnd w:id="136"/>
      <w:bookmarkEnd w:id="137"/>
      <w:bookmarkEnd w:id="138"/>
      <w:bookmarkEnd w:id="139"/>
      <w:bookmarkEnd w:id="140"/>
      <w:bookmarkEnd w:id="141"/>
      <w:bookmarkEnd w:id="142"/>
      <w:bookmarkEnd w:id="143"/>
      <w:bookmarkEnd w:id="144"/>
      <w:bookmarkEnd w:id="145"/>
    </w:p>
    <w:tbl>
      <w:tblPr>
        <w:tblStyle w:val="47"/>
        <w:tblW w:w="8800" w:type="dxa"/>
        <w:tblInd w:w="-3" w:type="dxa"/>
        <w:tblLayout w:type="fixed"/>
        <w:tblCellMar>
          <w:top w:w="0" w:type="dxa"/>
          <w:left w:w="0" w:type="dxa"/>
          <w:bottom w:w="0" w:type="dxa"/>
          <w:right w:w="0" w:type="dxa"/>
        </w:tblCellMar>
      </w:tblPr>
      <w:tblGrid>
        <w:gridCol w:w="1304"/>
        <w:gridCol w:w="1186"/>
        <w:gridCol w:w="1019"/>
        <w:gridCol w:w="1171"/>
        <w:gridCol w:w="2341"/>
        <w:gridCol w:w="1779"/>
      </w:tblGrid>
      <w:tr>
        <w:tblPrEx>
          <w:tblCellMar>
            <w:top w:w="0" w:type="dxa"/>
            <w:left w:w="0" w:type="dxa"/>
            <w:bottom w:w="0" w:type="dxa"/>
            <w:right w:w="0" w:type="dxa"/>
          </w:tblCellMar>
        </w:tblPrEx>
        <w:trPr>
          <w:trHeight w:val="1347" w:hRule="atLeast"/>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名</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龄</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学历</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1347" w:hRule="atLeast"/>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称</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  务</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拟在本合同任职</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97" w:firstLine="67" w:firstLineChars="28"/>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1347" w:hRule="atLeast"/>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毕业学校</w:t>
            </w:r>
          </w:p>
        </w:tc>
        <w:tc>
          <w:tcPr>
            <w:tcW w:w="7496" w:type="dxa"/>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2820"/>
                <w:tab w:val="left" w:pos="4080"/>
              </w:tabs>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年毕业于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学校</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专业</w:t>
            </w:r>
          </w:p>
        </w:tc>
      </w:tr>
      <w:tr>
        <w:tblPrEx>
          <w:tblCellMar>
            <w:top w:w="0" w:type="dxa"/>
            <w:left w:w="0" w:type="dxa"/>
            <w:bottom w:w="0" w:type="dxa"/>
            <w:right w:w="0" w:type="dxa"/>
          </w:tblCellMar>
        </w:tblPrEx>
        <w:trPr>
          <w:trHeight w:val="1290" w:hRule="atLeast"/>
        </w:trPr>
        <w:tc>
          <w:tcPr>
            <w:tcW w:w="880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主要工作经历</w:t>
            </w:r>
          </w:p>
        </w:tc>
      </w:tr>
      <w:tr>
        <w:tblPrEx>
          <w:tblCellMar>
            <w:top w:w="0" w:type="dxa"/>
            <w:left w:w="0" w:type="dxa"/>
            <w:bottom w:w="0" w:type="dxa"/>
            <w:right w:w="0" w:type="dxa"/>
          </w:tblCellMar>
        </w:tblPrEx>
        <w:trPr>
          <w:trHeight w:val="4498" w:hRule="atLeast"/>
        </w:trPr>
        <w:tc>
          <w:tcPr>
            <w:tcW w:w="8800" w:type="dxa"/>
            <w:gridSpan w:val="6"/>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r>
    </w:tbl>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注：1、此表一人一表；</w:t>
      </w:r>
    </w:p>
    <w:p>
      <w:pPr>
        <w:ind w:firstLine="472"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kern w:val="0"/>
          <w:sz w:val="24"/>
          <w:highlight w:val="none"/>
        </w:rPr>
        <w:t>2、项目总监理工程师应附监理工程师证书原件的图片（或扫描件）；其他人员附职称证（执业证或上岗证）原件的图片（或扫描件）。</w:t>
      </w:r>
    </w:p>
    <w:p>
      <w:pPr>
        <w:spacing w:before="312" w:beforeLines="100" w:after="312" w:afterLines="100"/>
        <w:rPr>
          <w:rFonts w:hint="eastAsia" w:asciiTheme="minorEastAsia" w:hAnsiTheme="minorEastAsia" w:eastAsiaTheme="minorEastAsia" w:cstheme="minorEastAsia"/>
          <w:b/>
          <w:bCs/>
          <w:color w:val="auto"/>
          <w:sz w:val="24"/>
          <w:highlight w:val="none"/>
        </w:rPr>
      </w:pPr>
    </w:p>
    <w:p>
      <w:pPr>
        <w:keepNext/>
        <w:keepLines/>
        <w:tabs>
          <w:tab w:val="left" w:pos="425"/>
        </w:tabs>
        <w:spacing w:before="260" w:after="260" w:line="413" w:lineRule="auto"/>
        <w:outlineLvl w:val="2"/>
        <w:rPr>
          <w:rFonts w:hint="eastAsia" w:asciiTheme="minorEastAsia" w:hAnsiTheme="minorEastAsia" w:eastAsiaTheme="minorEastAsia" w:cstheme="minorEastAsia"/>
          <w:b/>
          <w:bCs/>
          <w:color w:val="auto"/>
          <w:sz w:val="24"/>
          <w:highlight w:val="none"/>
        </w:rPr>
      </w:pPr>
      <w:bookmarkStart w:id="146" w:name="_Toc240341475"/>
      <w:bookmarkStart w:id="147" w:name="_Toc222221129"/>
      <w:bookmarkStart w:id="148" w:name="_Toc211220092"/>
      <w:bookmarkStart w:id="149" w:name="_Toc231573422"/>
      <w:bookmarkStart w:id="150" w:name="_Toc399077945"/>
      <w:bookmarkStart w:id="151" w:name="_Toc229285995"/>
      <w:bookmarkStart w:id="152" w:name="_Toc308378058"/>
      <w:bookmarkStart w:id="153" w:name="_Toc222205096"/>
      <w:bookmarkStart w:id="154" w:name="_Toc222143884"/>
      <w:bookmarkStart w:id="155" w:name="_Toc259710350"/>
      <w:bookmarkStart w:id="156" w:name="_Toc223767749"/>
      <w:bookmarkStart w:id="157" w:name="_Toc308377398"/>
      <w:bookmarkStart w:id="158" w:name="_Toc251745256"/>
      <w:bookmarkStart w:id="159" w:name="_Toc222031357"/>
      <w:bookmarkStart w:id="160" w:name="_Toc398757796"/>
      <w:bookmarkStart w:id="161" w:name="_Toc400611827"/>
      <w:r>
        <w:rPr>
          <w:rFonts w:hint="eastAsia" w:asciiTheme="minorEastAsia" w:hAnsiTheme="minorEastAsia" w:eastAsiaTheme="minorEastAsia" w:cstheme="minorEastAsia"/>
          <w:b/>
          <w:bCs/>
          <w:color w:val="auto"/>
          <w:spacing w:val="1"/>
          <w:kern w:val="0"/>
          <w:sz w:val="24"/>
          <w:highlight w:val="none"/>
        </w:rPr>
        <w:t>（三）监理部投入的检测设备、仪器</w:t>
      </w:r>
      <w:r>
        <w:rPr>
          <w:rFonts w:hint="eastAsia" w:asciiTheme="minorEastAsia" w:hAnsiTheme="minorEastAsia" w:eastAsiaTheme="minorEastAsia" w:cstheme="minorEastAsia"/>
          <w:b/>
          <w:bCs/>
          <w:color w:val="auto"/>
          <w:sz w:val="24"/>
          <w:highlight w:val="none"/>
        </w:rPr>
        <w:t>表</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Style w:val="47"/>
        <w:tblW w:w="9040" w:type="dxa"/>
        <w:jc w:val="center"/>
        <w:tblLayout w:type="fixed"/>
        <w:tblCellMar>
          <w:top w:w="0" w:type="dxa"/>
          <w:left w:w="0" w:type="dxa"/>
          <w:bottom w:w="0" w:type="dxa"/>
          <w:right w:w="0" w:type="dxa"/>
        </w:tblCellMar>
      </w:tblPr>
      <w:tblGrid>
        <w:gridCol w:w="711"/>
        <w:gridCol w:w="1161"/>
        <w:gridCol w:w="811"/>
        <w:gridCol w:w="1058"/>
        <w:gridCol w:w="717"/>
        <w:gridCol w:w="788"/>
        <w:gridCol w:w="1293"/>
        <w:gridCol w:w="1767"/>
        <w:gridCol w:w="734"/>
      </w:tblGrid>
      <w:tr>
        <w:tblPrEx>
          <w:tblCellMar>
            <w:top w:w="0" w:type="dxa"/>
            <w:left w:w="0" w:type="dxa"/>
            <w:bottom w:w="0" w:type="dxa"/>
            <w:right w:w="0" w:type="dxa"/>
          </w:tblCellMar>
        </w:tblPrEx>
        <w:trPr>
          <w:trHeight w:val="69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序号</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仪器设备名称</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型号规格</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数量</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国别 产地</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制造 年份</w:t>
            </w: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租赁/自有</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用途</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备注</w:t>
            </w: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通讯设备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1.1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2</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照相设备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2.1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3</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电算设备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3.1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交通设备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4.1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5</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检测设备</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5.1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6</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软件系统</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4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6.1</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677"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r>
              <w:rPr>
                <w:rFonts w:hint="eastAsia" w:asciiTheme="minorEastAsia" w:hAnsiTheme="minorEastAsia" w:eastAsiaTheme="minorEastAsia" w:cstheme="minorEastAsia"/>
                <w:color w:val="auto"/>
                <w:spacing w:val="1"/>
                <w:kern w:val="0"/>
                <w:sz w:val="24"/>
                <w:highlight w:val="none"/>
              </w:rPr>
              <w:t>……</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bl>
    <w:p>
      <w:pPr>
        <w:rPr>
          <w:rFonts w:hint="eastAsia" w:asciiTheme="minorEastAsia" w:hAnsiTheme="minorEastAsia" w:eastAsiaTheme="minorEastAsia" w:cstheme="minorEastAsia"/>
          <w:color w:val="auto"/>
          <w:highlight w:val="none"/>
        </w:rPr>
        <w:sectPr>
          <w:pgSz w:w="11906" w:h="16838"/>
          <w:pgMar w:top="1440" w:right="1080" w:bottom="1440" w:left="1080" w:header="1020" w:footer="850" w:gutter="0"/>
          <w:pgNumType w:fmt="decimal"/>
          <w:cols w:space="720" w:num="1"/>
          <w:docGrid w:type="lines" w:linePitch="312" w:charSpace="0"/>
        </w:sectPr>
      </w:pPr>
    </w:p>
    <w:p>
      <w:pPr>
        <w:pStyle w:val="8"/>
        <w:ind w:firstLine="562"/>
        <w:jc w:val="center"/>
        <w:rPr>
          <w:rFonts w:hint="eastAsia" w:asciiTheme="minorEastAsia" w:hAnsiTheme="minorEastAsia" w:eastAsiaTheme="minorEastAsia" w:cstheme="minorEastAsia"/>
          <w:color w:val="auto"/>
          <w:sz w:val="28"/>
          <w:szCs w:val="28"/>
          <w:highlight w:val="none"/>
        </w:rPr>
      </w:pPr>
      <w:bookmarkStart w:id="162" w:name="_Toc259707343"/>
      <w:bookmarkStart w:id="163" w:name="_Toc191983702"/>
      <w:bookmarkStart w:id="164" w:name="_Toc400611828"/>
      <w:bookmarkStart w:id="165" w:name="_Toc427393024"/>
      <w:bookmarkStart w:id="166" w:name="_Toc472594399"/>
      <w:bookmarkStart w:id="167" w:name="_Toc399077946"/>
      <w:r>
        <w:rPr>
          <w:rFonts w:hint="eastAsia" w:asciiTheme="minorEastAsia" w:hAnsiTheme="minorEastAsia" w:eastAsiaTheme="minorEastAsia" w:cstheme="minorEastAsia"/>
          <w:color w:val="auto"/>
          <w:sz w:val="28"/>
          <w:szCs w:val="28"/>
          <w:highlight w:val="none"/>
        </w:rPr>
        <w:t>六、</w:t>
      </w:r>
      <w:bookmarkEnd w:id="162"/>
      <w:bookmarkEnd w:id="163"/>
      <w:bookmarkStart w:id="168" w:name="_Toc259707344"/>
      <w:bookmarkStart w:id="169" w:name="_Toc191983703"/>
      <w:bookmarkStart w:id="170" w:name="_Toc259710352"/>
      <w:r>
        <w:rPr>
          <w:rFonts w:hint="eastAsia" w:asciiTheme="minorEastAsia" w:hAnsiTheme="minorEastAsia" w:eastAsiaTheme="minorEastAsia" w:cstheme="minorEastAsia"/>
          <w:color w:val="auto"/>
          <w:sz w:val="28"/>
          <w:szCs w:val="28"/>
          <w:highlight w:val="none"/>
        </w:rPr>
        <w:t>投标人基本情况表</w:t>
      </w:r>
      <w:bookmarkEnd w:id="164"/>
      <w:bookmarkEnd w:id="165"/>
      <w:bookmarkEnd w:id="166"/>
      <w:bookmarkEnd w:id="167"/>
      <w:bookmarkEnd w:id="168"/>
      <w:bookmarkEnd w:id="169"/>
      <w:bookmarkEnd w:id="170"/>
    </w:p>
    <w:tbl>
      <w:tblPr>
        <w:tblStyle w:val="47"/>
        <w:tblpPr w:leftFromText="180" w:rightFromText="180" w:vertAnchor="text" w:horzAnchor="margin" w:tblpY="42"/>
        <w:tblOverlap w:val="never"/>
        <w:tblW w:w="9472" w:type="dxa"/>
        <w:tblInd w:w="-10" w:type="dxa"/>
        <w:tblLayout w:type="fixed"/>
        <w:tblCellMar>
          <w:top w:w="0" w:type="dxa"/>
          <w:left w:w="0" w:type="dxa"/>
          <w:bottom w:w="0" w:type="dxa"/>
          <w:right w:w="0" w:type="dxa"/>
        </w:tblCellMar>
      </w:tblPr>
      <w:tblGrid>
        <w:gridCol w:w="1910"/>
        <w:gridCol w:w="993"/>
        <w:gridCol w:w="1051"/>
        <w:gridCol w:w="928"/>
        <w:gridCol w:w="465"/>
        <w:gridCol w:w="344"/>
        <w:gridCol w:w="1192"/>
        <w:gridCol w:w="542"/>
        <w:gridCol w:w="949"/>
        <w:gridCol w:w="1098"/>
      </w:tblGrid>
      <w:tr>
        <w:tblPrEx>
          <w:tblCellMar>
            <w:top w:w="0" w:type="dxa"/>
            <w:left w:w="0" w:type="dxa"/>
            <w:bottom w:w="0" w:type="dxa"/>
            <w:right w:w="0" w:type="dxa"/>
          </w:tblCellMar>
        </w:tblPrEx>
        <w:trPr>
          <w:trHeight w:val="74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投标人名称</w:t>
            </w:r>
          </w:p>
        </w:tc>
        <w:tc>
          <w:tcPr>
            <w:tcW w:w="7562"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640"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注册</w:t>
            </w:r>
            <w:r>
              <w:rPr>
                <w:rFonts w:hint="eastAsia" w:asciiTheme="minorEastAsia" w:hAnsiTheme="minorEastAsia" w:eastAsiaTheme="minorEastAsia" w:cstheme="minorEastAsia"/>
                <w:color w:val="auto"/>
                <w:spacing w:val="1"/>
                <w:kern w:val="0"/>
                <w:sz w:val="24"/>
                <w:highlight w:val="none"/>
              </w:rPr>
              <w:t>地址</w:t>
            </w:r>
          </w:p>
        </w:tc>
        <w:tc>
          <w:tcPr>
            <w:tcW w:w="37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邮政编码</w:t>
            </w:r>
          </w:p>
        </w:tc>
        <w:tc>
          <w:tcPr>
            <w:tcW w:w="2589"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738" w:hRule="atLeast"/>
        </w:trPr>
        <w:tc>
          <w:tcPr>
            <w:tcW w:w="191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w:t>
            </w:r>
            <w:r>
              <w:rPr>
                <w:rFonts w:hint="eastAsia" w:asciiTheme="minorEastAsia" w:hAnsiTheme="minorEastAsia" w:eastAsiaTheme="minorEastAsia" w:cstheme="minorEastAsia"/>
                <w:color w:val="auto"/>
                <w:spacing w:val="1"/>
                <w:kern w:val="0"/>
                <w:sz w:val="24"/>
                <w:highlight w:val="none"/>
              </w:rPr>
              <w:t>方式</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p>
        </w:tc>
        <w:tc>
          <w:tcPr>
            <w:tcW w:w="278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p>
        </w:tc>
        <w:tc>
          <w:tcPr>
            <w:tcW w:w="2589"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608" w:hRule="atLeast"/>
        </w:trPr>
        <w:tc>
          <w:tcPr>
            <w:tcW w:w="19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真</w:t>
            </w:r>
          </w:p>
        </w:tc>
        <w:tc>
          <w:tcPr>
            <w:tcW w:w="278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网  址</w:t>
            </w:r>
          </w:p>
        </w:tc>
        <w:tc>
          <w:tcPr>
            <w:tcW w:w="2589"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667"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组织</w:t>
            </w:r>
            <w:r>
              <w:rPr>
                <w:rFonts w:hint="eastAsia" w:asciiTheme="minorEastAsia" w:hAnsiTheme="minorEastAsia" w:eastAsiaTheme="minorEastAsia" w:cstheme="minorEastAsia"/>
                <w:color w:val="auto"/>
                <w:spacing w:val="1"/>
                <w:kern w:val="0"/>
                <w:sz w:val="24"/>
                <w:highlight w:val="none"/>
              </w:rPr>
              <w:t>结构</w:t>
            </w:r>
          </w:p>
        </w:tc>
        <w:tc>
          <w:tcPr>
            <w:tcW w:w="7562"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w:t>
            </w:r>
            <w:r>
              <w:rPr>
                <w:rFonts w:hint="eastAsia" w:asciiTheme="minorEastAsia" w:hAnsiTheme="minorEastAsia" w:eastAsiaTheme="minorEastAsia" w:cstheme="minorEastAsia"/>
                <w:color w:val="auto"/>
                <w:spacing w:val="1"/>
                <w:kern w:val="0"/>
                <w:sz w:val="24"/>
                <w:highlight w:val="none"/>
              </w:rPr>
              <w:t>代表</w:t>
            </w:r>
            <w:r>
              <w:rPr>
                <w:rFonts w:hint="eastAsia" w:asciiTheme="minorEastAsia" w:hAnsiTheme="minorEastAsia" w:eastAsiaTheme="minorEastAsia" w:cstheme="minorEastAsia"/>
                <w:color w:val="auto"/>
                <w:sz w:val="24"/>
                <w:highlight w:val="none"/>
              </w:rPr>
              <w:t>人</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技术职称</w:t>
            </w:r>
          </w:p>
        </w:tc>
        <w:tc>
          <w:tcPr>
            <w:tcW w:w="207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w:t>
            </w:r>
          </w:p>
        </w:tc>
        <w:tc>
          <w:tcPr>
            <w:tcW w:w="10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成立</w:t>
            </w:r>
            <w:r>
              <w:rPr>
                <w:rFonts w:hint="eastAsia" w:asciiTheme="minorEastAsia" w:hAnsiTheme="minorEastAsia" w:eastAsiaTheme="minorEastAsia" w:cstheme="minorEastAsia"/>
                <w:color w:val="auto"/>
                <w:sz w:val="24"/>
                <w:highlight w:val="none"/>
              </w:rPr>
              <w:t>时间</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551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员工总</w:t>
            </w:r>
            <w:r>
              <w:rPr>
                <w:rFonts w:hint="eastAsia" w:asciiTheme="minorEastAsia" w:hAnsiTheme="minorEastAsia" w:eastAsiaTheme="minorEastAsia" w:cstheme="minorEastAsia"/>
                <w:color w:val="auto"/>
                <w:spacing w:val="1"/>
                <w:kern w:val="0"/>
                <w:sz w:val="24"/>
                <w:highlight w:val="none"/>
              </w:rPr>
              <w:t>人数</w:t>
            </w:r>
            <w:r>
              <w:rPr>
                <w:rFonts w:hint="eastAsia" w:asciiTheme="minorEastAsia" w:hAnsiTheme="minorEastAsia" w:eastAsiaTheme="minorEastAsia" w:cstheme="minorEastAsia"/>
                <w:color w:val="auto"/>
                <w:sz w:val="24"/>
                <w:highlight w:val="none"/>
              </w:rPr>
              <w:t>：</w:t>
            </w: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企业资质等级</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2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其中</w:t>
            </w: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项目总监理工程师</w:t>
            </w:r>
          </w:p>
        </w:tc>
        <w:tc>
          <w:tcPr>
            <w:tcW w:w="20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87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营业执照</w:t>
            </w:r>
            <w:r>
              <w:rPr>
                <w:rFonts w:hint="eastAsia" w:asciiTheme="minorEastAsia" w:hAnsiTheme="minorEastAsia" w:eastAsiaTheme="minorEastAsia" w:cstheme="minorEastAsia"/>
                <w:color w:val="auto"/>
                <w:sz w:val="24"/>
                <w:highlight w:val="none"/>
              </w:rPr>
              <w:t>号</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高级</w:t>
            </w:r>
            <w:r>
              <w:rPr>
                <w:rFonts w:hint="eastAsia" w:asciiTheme="minorEastAsia" w:hAnsiTheme="minorEastAsia" w:eastAsiaTheme="minorEastAsia" w:cstheme="minorEastAsia"/>
                <w:color w:val="auto"/>
                <w:spacing w:val="1"/>
                <w:kern w:val="0"/>
                <w:sz w:val="24"/>
                <w:highlight w:val="none"/>
              </w:rPr>
              <w:t>职称</w:t>
            </w:r>
            <w:r>
              <w:rPr>
                <w:rFonts w:hint="eastAsia" w:asciiTheme="minorEastAsia" w:hAnsiTheme="minorEastAsia" w:eastAsiaTheme="minorEastAsia" w:cstheme="minorEastAsia"/>
                <w:color w:val="auto"/>
                <w:sz w:val="24"/>
                <w:highlight w:val="none"/>
              </w:rPr>
              <w:t>人员</w:t>
            </w:r>
          </w:p>
        </w:tc>
        <w:tc>
          <w:tcPr>
            <w:tcW w:w="20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注册资金</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中级职称</w:t>
            </w:r>
            <w:r>
              <w:rPr>
                <w:rFonts w:hint="eastAsia" w:asciiTheme="minorEastAsia" w:hAnsiTheme="minorEastAsia" w:eastAsiaTheme="minorEastAsia" w:cstheme="minorEastAsia"/>
                <w:color w:val="auto"/>
                <w:sz w:val="24"/>
                <w:highlight w:val="none"/>
              </w:rPr>
              <w:t>人员</w:t>
            </w:r>
          </w:p>
        </w:tc>
        <w:tc>
          <w:tcPr>
            <w:tcW w:w="20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开户银行</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初级职称</w:t>
            </w:r>
            <w:r>
              <w:rPr>
                <w:rFonts w:hint="eastAsia" w:asciiTheme="minorEastAsia" w:hAnsiTheme="minorEastAsia" w:eastAsiaTheme="minorEastAsia" w:cstheme="minorEastAsia"/>
                <w:color w:val="auto"/>
                <w:sz w:val="24"/>
                <w:highlight w:val="none"/>
              </w:rPr>
              <w:t>人员</w:t>
            </w:r>
          </w:p>
        </w:tc>
        <w:tc>
          <w:tcPr>
            <w:tcW w:w="20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902"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1"/>
                <w:kern w:val="0"/>
                <w:sz w:val="24"/>
                <w:highlight w:val="none"/>
              </w:rPr>
              <w:t>账号</w:t>
            </w:r>
          </w:p>
        </w:tc>
        <w:tc>
          <w:tcPr>
            <w:tcW w:w="204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92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c>
          <w:tcPr>
            <w:tcW w:w="254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p>
        </w:tc>
        <w:tc>
          <w:tcPr>
            <w:tcW w:w="20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698"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经营范围</w:t>
            </w:r>
          </w:p>
        </w:tc>
        <w:tc>
          <w:tcPr>
            <w:tcW w:w="756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pacing w:val="1"/>
                <w:kern w:val="0"/>
                <w:sz w:val="24"/>
                <w:highlight w:val="none"/>
              </w:rPr>
            </w:pPr>
          </w:p>
        </w:tc>
      </w:tr>
      <w:tr>
        <w:tblPrEx>
          <w:tblCellMar>
            <w:top w:w="0" w:type="dxa"/>
            <w:left w:w="0" w:type="dxa"/>
            <w:bottom w:w="0" w:type="dxa"/>
            <w:right w:w="0" w:type="dxa"/>
          </w:tblCellMar>
        </w:tblPrEx>
        <w:trPr>
          <w:trHeight w:val="703" w:hRule="atLeast"/>
        </w:trPr>
        <w:tc>
          <w:tcPr>
            <w:tcW w:w="19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c>
          <w:tcPr>
            <w:tcW w:w="7562"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hint="eastAsia" w:asciiTheme="minorEastAsia" w:hAnsiTheme="minorEastAsia" w:eastAsiaTheme="minorEastAsia" w:cstheme="minorEastAsia"/>
                <w:color w:val="auto"/>
                <w:sz w:val="24"/>
                <w:highlight w:val="none"/>
              </w:rPr>
            </w:pPr>
          </w:p>
        </w:tc>
      </w:tr>
    </w:tbl>
    <w:p>
      <w:pPr>
        <w:autoSpaceDE w:val="0"/>
        <w:autoSpaceDN w:val="0"/>
        <w:adjustRightInd w:val="0"/>
        <w:spacing w:line="420" w:lineRule="exact"/>
        <w:ind w:lef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highlight w:val="none"/>
        </w:rPr>
        <w:t>后附营业执照、资质证等原件的图片（或扫描件）。</w:t>
      </w:r>
    </w:p>
    <w:p>
      <w:pPr>
        <w:ind w:firstLine="42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1906" w:h="16838"/>
          <w:pgMar w:top="1440" w:right="1080" w:bottom="1440" w:left="1080" w:header="1020" w:footer="850" w:gutter="0"/>
          <w:pgNumType w:fmt="decimal"/>
          <w:cols w:space="720" w:num="1"/>
          <w:docGrid w:type="lines" w:linePitch="312" w:charSpace="0"/>
        </w:sectPr>
      </w:pPr>
    </w:p>
    <w:p>
      <w:pPr>
        <w:pStyle w:val="8"/>
        <w:jc w:val="center"/>
        <w:rPr>
          <w:rFonts w:hint="eastAsia" w:asciiTheme="minorEastAsia" w:hAnsiTheme="minorEastAsia" w:eastAsiaTheme="minorEastAsia" w:cstheme="minorEastAsia"/>
          <w:color w:val="auto"/>
          <w:sz w:val="28"/>
          <w:szCs w:val="28"/>
          <w:highlight w:val="none"/>
        </w:rPr>
      </w:pPr>
      <w:bookmarkStart w:id="171" w:name="_Toc427393025"/>
      <w:bookmarkStart w:id="172" w:name="_Toc472594400"/>
      <w:r>
        <w:rPr>
          <w:rFonts w:hint="eastAsia" w:asciiTheme="minorEastAsia" w:hAnsiTheme="minorEastAsia" w:eastAsiaTheme="minorEastAsia" w:cstheme="minorEastAsia"/>
          <w:color w:val="auto"/>
          <w:sz w:val="28"/>
          <w:szCs w:val="28"/>
          <w:highlight w:val="none"/>
        </w:rPr>
        <w:t>七、资格证明资料</w:t>
      </w:r>
      <w:bookmarkEnd w:id="171"/>
      <w:bookmarkEnd w:id="172"/>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8"/>
        <w:numPr>
          <w:ilvl w:val="0"/>
          <w:numId w:val="6"/>
        </w:numPr>
        <w:jc w:val="center"/>
        <w:rPr>
          <w:rFonts w:hint="eastAsia" w:asciiTheme="minorEastAsia" w:hAnsiTheme="minorEastAsia" w:eastAsiaTheme="minorEastAsia" w:cstheme="minorEastAsia"/>
          <w:color w:val="auto"/>
          <w:sz w:val="28"/>
          <w:szCs w:val="28"/>
          <w:highlight w:val="none"/>
        </w:rPr>
      </w:pPr>
      <w:bookmarkStart w:id="173" w:name="_Toc472594401"/>
      <w:bookmarkStart w:id="174" w:name="_Toc427393026"/>
      <w:r>
        <w:rPr>
          <w:rFonts w:hint="eastAsia" w:asciiTheme="minorEastAsia" w:hAnsiTheme="minorEastAsia" w:eastAsiaTheme="minorEastAsia" w:cstheme="minorEastAsia"/>
          <w:color w:val="auto"/>
          <w:sz w:val="28"/>
          <w:szCs w:val="28"/>
          <w:highlight w:val="none"/>
        </w:rPr>
        <w:t>投标保证金缴付凭证</w:t>
      </w:r>
      <w:bookmarkStart w:id="175" w:name="_Toc2042"/>
    </w:p>
    <w:p>
      <w:pPr>
        <w:pStyle w:val="8"/>
        <w:numPr>
          <w:ilvl w:val="0"/>
          <w:numId w:val="0"/>
        </w:numPr>
        <w:jc w:val="center"/>
        <w:rPr>
          <w:rFonts w:hint="eastAsia" w:asciiTheme="minorEastAsia" w:hAnsiTheme="minorEastAsia" w:eastAsiaTheme="minorEastAsia" w:cstheme="minorEastAsia"/>
          <w:b w:val="0"/>
          <w:bCs w:val="0"/>
          <w:color w:val="auto"/>
          <w:sz w:val="28"/>
          <w:szCs w:val="28"/>
          <w:highlight w:val="none"/>
        </w:rPr>
      </w:pPr>
      <w:r>
        <w:rPr>
          <w:rFonts w:hint="eastAsia" w:asciiTheme="minorEastAsia" w:hAnsiTheme="minorEastAsia" w:eastAsiaTheme="minorEastAsia" w:cstheme="minorEastAsia"/>
          <w:b w:val="0"/>
          <w:bCs w:val="0"/>
          <w:color w:val="auto"/>
          <w:sz w:val="28"/>
          <w:szCs w:val="28"/>
          <w:highlight w:val="none"/>
        </w:rPr>
        <w:t>（汇款凭证原件的图片（或扫描件））</w:t>
      </w:r>
      <w:bookmarkEnd w:id="173"/>
      <w:bookmarkEnd w:id="175"/>
    </w:p>
    <w:p>
      <w:pPr>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8"/>
        <w:jc w:val="center"/>
        <w:rPr>
          <w:rFonts w:hint="eastAsia" w:asciiTheme="minorEastAsia" w:hAnsiTheme="minorEastAsia" w:eastAsiaTheme="minorEastAsia" w:cstheme="minorEastAsia"/>
          <w:color w:val="auto"/>
          <w:sz w:val="28"/>
          <w:szCs w:val="28"/>
          <w:highlight w:val="none"/>
        </w:rPr>
      </w:pPr>
      <w:bookmarkStart w:id="176" w:name="_Toc472594402"/>
      <w:r>
        <w:rPr>
          <w:rFonts w:hint="eastAsia" w:asciiTheme="minorEastAsia" w:hAnsiTheme="minorEastAsia" w:eastAsiaTheme="minorEastAsia" w:cstheme="minorEastAsia"/>
          <w:color w:val="auto"/>
          <w:sz w:val="28"/>
          <w:szCs w:val="28"/>
          <w:highlight w:val="none"/>
        </w:rPr>
        <w:t>九、其他材料</w:t>
      </w:r>
      <w:bookmarkEnd w:id="174"/>
      <w:bookmarkEnd w:id="176"/>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bookmarkStart w:id="177" w:name="_Toc9576_WPSOffice_Level1"/>
    </w:p>
    <w:p>
      <w:pPr>
        <w:spacing w:line="600" w:lineRule="exact"/>
        <w:jc w:val="center"/>
        <w:rPr>
          <w:rFonts w:hint="eastAsia" w:asciiTheme="minorEastAsia" w:hAnsiTheme="minorEastAsia" w:eastAsiaTheme="minorEastAsia" w:cstheme="minorEastAsia"/>
          <w:color w:val="000000"/>
          <w:sz w:val="44"/>
          <w:szCs w:val="44"/>
          <w:highlight w:val="none"/>
        </w:rPr>
      </w:pPr>
      <w:r>
        <w:rPr>
          <w:rFonts w:hint="eastAsia" w:asciiTheme="minorEastAsia" w:hAnsiTheme="minorEastAsia" w:eastAsiaTheme="minorEastAsia" w:cstheme="minorEastAsia"/>
          <w:color w:val="000000"/>
          <w:sz w:val="44"/>
          <w:szCs w:val="44"/>
          <w:highlight w:val="none"/>
        </w:rPr>
        <w:t>全省房屋建筑和市政基础设施工程项目</w:t>
      </w:r>
    </w:p>
    <w:p>
      <w:pPr>
        <w:spacing w:line="600" w:lineRule="exact"/>
        <w:jc w:val="center"/>
        <w:rPr>
          <w:rFonts w:hint="eastAsia" w:asciiTheme="minorEastAsia" w:hAnsiTheme="minorEastAsia" w:eastAsiaTheme="minorEastAsia" w:cstheme="minorEastAsia"/>
          <w:color w:val="000000"/>
          <w:sz w:val="44"/>
          <w:szCs w:val="44"/>
          <w:highlight w:val="none"/>
        </w:rPr>
      </w:pPr>
      <w:r>
        <w:rPr>
          <w:rFonts w:hint="eastAsia" w:asciiTheme="minorEastAsia" w:hAnsiTheme="minorEastAsia" w:eastAsiaTheme="minorEastAsia" w:cstheme="minorEastAsia"/>
          <w:color w:val="000000"/>
          <w:sz w:val="44"/>
          <w:szCs w:val="44"/>
          <w:highlight w:val="none"/>
        </w:rPr>
        <w:t>招标投标活动承诺书</w:t>
      </w:r>
    </w:p>
    <w:p>
      <w:pPr>
        <w:jc w:val="center"/>
        <w:rPr>
          <w:rFonts w:hint="eastAsia" w:asciiTheme="minorEastAsia" w:hAnsiTheme="minorEastAsia" w:eastAsiaTheme="minorEastAsia" w:cstheme="minorEastAsia"/>
          <w:sz w:val="44"/>
          <w:szCs w:val="44"/>
          <w:highlight w:val="none"/>
        </w:rPr>
      </w:pPr>
    </w:p>
    <w:p>
      <w:pPr>
        <w:spacing w:line="580" w:lineRule="exact"/>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我单位承诺，在项目招投标活动中，自觉遵守《中华人民共和国招标投标法》、《中华人民共和国招标投标法实施条例》、河南省实施《中华人民共和国招标投标法》办法等招标投标相关法律、法规和制度规定，如有违反，愿承担相关法律责任。</w:t>
      </w:r>
    </w:p>
    <w:p>
      <w:pPr>
        <w:rPr>
          <w:rFonts w:hint="eastAsia" w:asciiTheme="minorEastAsia" w:hAnsiTheme="minorEastAsia" w:eastAsiaTheme="minorEastAsia" w:cstheme="minorEastAsia"/>
          <w:sz w:val="28"/>
          <w:szCs w:val="28"/>
          <w:highlight w:val="none"/>
        </w:rPr>
      </w:pPr>
    </w:p>
    <w:p>
      <w:pPr>
        <w:rPr>
          <w:rFonts w:hint="eastAsia" w:asciiTheme="minorEastAsia" w:hAnsiTheme="minorEastAsia" w:eastAsiaTheme="minorEastAsia" w:cstheme="minorEastAsia"/>
          <w:sz w:val="28"/>
          <w:szCs w:val="28"/>
          <w:highlight w:val="none"/>
          <w:u w:val="single"/>
        </w:rPr>
      </w:pPr>
      <w:r>
        <w:rPr>
          <w:rFonts w:hint="eastAsia" w:asciiTheme="minorEastAsia" w:hAnsiTheme="minorEastAsia" w:eastAsiaTheme="minorEastAsia" w:cstheme="minorEastAsia"/>
          <w:sz w:val="28"/>
          <w:szCs w:val="28"/>
          <w:highlight w:val="none"/>
        </w:rPr>
        <w:t>承诺人（法人或委托代理人）（签字）：</w:t>
      </w:r>
    </w:p>
    <w:p>
      <w:pPr>
        <w:rPr>
          <w:rFonts w:hint="eastAsia" w:asciiTheme="minorEastAsia" w:hAnsiTheme="minorEastAsia" w:eastAsiaTheme="minorEastAsia" w:cstheme="minorEastAsia"/>
          <w:sz w:val="28"/>
          <w:szCs w:val="28"/>
          <w:highlight w:val="none"/>
        </w:rPr>
      </w:pPr>
    </w:p>
    <w:p>
      <w:pPr>
        <w:rPr>
          <w:rFonts w:hint="eastAsia" w:asciiTheme="minorEastAsia" w:hAnsiTheme="minorEastAsia" w:eastAsiaTheme="minorEastAsia" w:cstheme="minorEastAsia"/>
          <w:sz w:val="28"/>
          <w:szCs w:val="28"/>
          <w:highlight w:val="none"/>
        </w:rPr>
      </w:pPr>
    </w:p>
    <w:p>
      <w:pPr>
        <w:rPr>
          <w:rFonts w:hint="eastAsia" w:asciiTheme="minorEastAsia" w:hAnsiTheme="minorEastAsia" w:eastAsiaTheme="minorEastAsia" w:cstheme="minorEastAsia"/>
          <w:sz w:val="28"/>
          <w:szCs w:val="28"/>
          <w:highlight w:val="none"/>
          <w:u w:val="single"/>
        </w:rPr>
      </w:pPr>
      <w:r>
        <w:rPr>
          <w:rFonts w:hint="eastAsia" w:asciiTheme="minorEastAsia" w:hAnsiTheme="minorEastAsia" w:eastAsiaTheme="minorEastAsia" w:cstheme="minorEastAsia"/>
          <w:sz w:val="28"/>
          <w:szCs w:val="28"/>
          <w:highlight w:val="none"/>
        </w:rPr>
        <w:t xml:space="preserve">联   系   电   话：               </w:t>
      </w:r>
    </w:p>
    <w:p>
      <w:pPr>
        <w:spacing w:line="240" w:lineRule="exact"/>
        <w:rPr>
          <w:rFonts w:hint="eastAsia" w:asciiTheme="minorEastAsia" w:hAnsiTheme="minorEastAsia" w:eastAsiaTheme="minorEastAsia" w:cstheme="minorEastAsia"/>
          <w:sz w:val="28"/>
          <w:szCs w:val="28"/>
          <w:highlight w:val="none"/>
        </w:rPr>
      </w:pPr>
    </w:p>
    <w:p>
      <w:pPr>
        <w:rPr>
          <w:rFonts w:hint="eastAsia" w:asciiTheme="minorEastAsia" w:hAnsiTheme="minorEastAsia" w:eastAsiaTheme="minorEastAsia" w:cstheme="minorEastAsia"/>
          <w:sz w:val="28"/>
          <w:szCs w:val="28"/>
          <w:highlight w:val="none"/>
        </w:rPr>
      </w:pPr>
    </w:p>
    <w:p>
      <w:pPr>
        <w:rPr>
          <w:rFonts w:hint="eastAsia" w:asciiTheme="minorEastAsia" w:hAnsiTheme="minorEastAsia" w:eastAsiaTheme="minorEastAsia" w:cstheme="minorEastAsia"/>
          <w:sz w:val="28"/>
          <w:szCs w:val="28"/>
          <w:highlight w:val="none"/>
        </w:rPr>
      </w:pPr>
    </w:p>
    <w:p>
      <w:pPr>
        <w:ind w:firstLine="3500" w:firstLineChars="1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w:t>
      </w:r>
    </w:p>
    <w:p>
      <w:pPr>
        <w:ind w:firstLine="3500" w:firstLineChars="1250"/>
        <w:rPr>
          <w:rFonts w:hint="eastAsia" w:asciiTheme="minorEastAsia" w:hAnsiTheme="minorEastAsia" w:eastAsiaTheme="minorEastAsia" w:cstheme="minorEastAsia"/>
          <w:sz w:val="28"/>
          <w:szCs w:val="28"/>
          <w:highlight w:val="none"/>
        </w:rPr>
      </w:pPr>
    </w:p>
    <w:p>
      <w:pPr>
        <w:ind w:firstLine="3500" w:firstLineChars="1250"/>
        <w:rPr>
          <w:rFonts w:hint="eastAsia" w:asciiTheme="minorEastAsia" w:hAnsiTheme="minorEastAsia" w:eastAsiaTheme="minorEastAsia" w:cstheme="minorEastAsia"/>
          <w:sz w:val="28"/>
          <w:szCs w:val="28"/>
          <w:highlight w:val="none"/>
        </w:rPr>
      </w:pPr>
    </w:p>
    <w:p>
      <w:pPr>
        <w:ind w:firstLine="3500" w:firstLineChars="1250"/>
        <w:rPr>
          <w:rFonts w:hint="eastAsia" w:asciiTheme="minorEastAsia" w:hAnsiTheme="minorEastAsia" w:eastAsiaTheme="minorEastAsia" w:cstheme="minorEastAsia"/>
          <w:sz w:val="28"/>
          <w:szCs w:val="28"/>
          <w:highlight w:val="none"/>
        </w:rPr>
      </w:pPr>
    </w:p>
    <w:p>
      <w:pPr>
        <w:ind w:firstLine="3500" w:firstLineChars="1250"/>
        <w:rPr>
          <w:rFonts w:hint="eastAsia" w:asciiTheme="minorEastAsia" w:hAnsiTheme="minorEastAsia" w:eastAsiaTheme="minorEastAsia" w:cstheme="minorEastAsia"/>
          <w:sz w:val="28"/>
          <w:szCs w:val="28"/>
          <w:highlight w:val="none"/>
        </w:rPr>
      </w:pPr>
    </w:p>
    <w:p>
      <w:pPr>
        <w:ind w:firstLine="3500" w:firstLineChars="1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承诺人（盖章）</w:t>
      </w:r>
    </w:p>
    <w:p>
      <w:pPr>
        <w:rPr>
          <w:rFonts w:hint="eastAsia" w:asciiTheme="minorEastAsia" w:hAnsiTheme="minorEastAsia" w:eastAsiaTheme="minorEastAsia" w:cstheme="minorEastAsia"/>
          <w:sz w:val="28"/>
          <w:szCs w:val="28"/>
          <w:highlight w:val="none"/>
        </w:rPr>
      </w:pPr>
    </w:p>
    <w:p>
      <w:pPr>
        <w:ind w:firstLine="3780" w:firstLineChars="13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rPr>
        <w:t>日</w:t>
      </w:r>
    </w:p>
    <w:p>
      <w:pPr>
        <w:widowControl/>
        <w:shd w:val="clear" w:color="auto" w:fill="FFFFFF"/>
        <w:spacing w:line="460" w:lineRule="exact"/>
        <w:jc w:val="left"/>
        <w:rPr>
          <w:rFonts w:hint="eastAsia" w:asciiTheme="minorEastAsia" w:hAnsiTheme="minorEastAsia" w:eastAsiaTheme="minorEastAsia" w:cstheme="minorEastAsia"/>
          <w:color w:val="000000"/>
          <w:kern w:val="0"/>
          <w:sz w:val="24"/>
          <w:szCs w:val="24"/>
          <w:highlight w:val="none"/>
        </w:rPr>
      </w:pPr>
    </w:p>
    <w:p>
      <w:pPr>
        <w:widowControl/>
        <w:shd w:val="clear" w:color="auto" w:fill="FFFFFF"/>
        <w:spacing w:line="460" w:lineRule="exact"/>
        <w:jc w:val="left"/>
        <w:rPr>
          <w:rFonts w:hint="eastAsia" w:asciiTheme="minorEastAsia" w:hAnsiTheme="minorEastAsia" w:eastAsiaTheme="minorEastAsia" w:cstheme="minorEastAsia"/>
          <w:color w:val="000000"/>
          <w:kern w:val="0"/>
          <w:sz w:val="28"/>
          <w:szCs w:val="28"/>
          <w:highlight w:val="none"/>
        </w:rPr>
      </w:pPr>
    </w:p>
    <w:p>
      <w:pPr>
        <w:widowControl/>
        <w:shd w:val="clear" w:color="auto" w:fill="FFFFFF"/>
        <w:spacing w:line="460" w:lineRule="exact"/>
        <w:jc w:val="left"/>
        <w:rPr>
          <w:rFonts w:hint="eastAsia" w:asciiTheme="minorEastAsia" w:hAnsiTheme="minorEastAsia" w:eastAsiaTheme="minorEastAsia" w:cstheme="minorEastAsia"/>
          <w:color w:val="000000"/>
          <w:kern w:val="0"/>
          <w:sz w:val="28"/>
          <w:szCs w:val="28"/>
          <w:highlight w:val="none"/>
        </w:rPr>
      </w:pPr>
    </w:p>
    <w:p>
      <w:pP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br w:type="page"/>
      </w:r>
      <w:bookmarkEnd w:id="177"/>
    </w:p>
    <w:p>
      <w:pPr>
        <w:rPr>
          <w:rFonts w:hint="eastAsia" w:ascii="新宋体" w:eastAsia="新宋体" w:cs="新宋体"/>
          <w:b/>
          <w:color w:val="auto"/>
          <w:sz w:val="24"/>
          <w:highlight w:val="none"/>
          <w:lang w:bidi="ar-SA"/>
        </w:rPr>
      </w:pPr>
      <w:r>
        <w:rPr>
          <w:rFonts w:hint="eastAsia" w:asciiTheme="minorEastAsia" w:hAnsiTheme="minorEastAsia" w:eastAsiaTheme="minorEastAsia" w:cstheme="minorEastAsia"/>
          <w:b/>
          <w:color w:val="auto"/>
          <w:sz w:val="24"/>
          <w:highlight w:val="none"/>
        </w:rPr>
        <w:t xml:space="preserve">                              </w:t>
      </w:r>
    </w:p>
    <w:p>
      <w:pPr>
        <w:spacing w:before="360" w:beforeLines="150" w:after="360" w:afterLines="150"/>
        <w:jc w:val="center"/>
        <w:rPr>
          <w:rFonts w:hint="eastAsia"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28"/>
          <w:szCs w:val="36"/>
          <w:highlight w:val="none"/>
        </w:rPr>
        <w:t>全流程电子化交易注意事项</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电子化交易项目投标文件是投标人、投标人（以下简称“投标人”）通过中心投标文件制作系统制作，并 经过签章和加密后生成的电子版投标文件。（电子化投标文件具体制作教材请投标人通过 CA 证书登录公共资 源电子化交易系统在右上角“组件下载”中查看）制作电子化投标文件，需仔细阅读以下条款。 一、电子化投标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（一）网上投标保证金的缴纳</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1、递交形式: 投标人的投标保证金必须通过投标人基本账户以转账或电汇的形式缴纳（账户必须是已加入平 顶山市公共资源交易投标人或投标人诚信库中的账户）。</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2、投标人缴纳投标保证金后，应在规定的缴纳截止时间前通过平顶山市公共资源电子化交易系统将保证金成 功绑定至所投标项目和标段。保证金绑定操作手册，请登录平顶山市公共资源交易中心网站在办事指南中网 上投标栏目查看。</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3、投标人在成功绑定后，可以将系统生成的回执单图片制作在投标文件中，作为缴纳保证金的依据。</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4、投标人应仔细阅读操作手册并充分考虑异地跨行转账到账时间等因素，因投标人操作不当或银行到账时间 等问题造成保证金无法正常绑定影响投标的，由投标人自行承担后果。</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5、未中标投标人的投标保证金在项目结束后，由中介服务机构向中心项目负责人提出退款申请，项目负责人 同意并经财务部门核对后，通过中心交易平台退还给投标人。</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（二）电子化投标文件的签章</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1、投标人在生成电子化投标文件后，应对电子化投标文件进行签章，未进行签章的视为无效投标。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2、招标文件中要求法定代表人或授权委托人签字或盖章的，投标人在进行电子化投标文件签章时，以签盖法 定代表人签章为准。电子化投标文件具体制作教材请投标人通过 CA 证书登录平顶山市公共资源电子化交易系 统在右上角“组建下载”中查看。</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（三）电子化投标文件的格式及上传投标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1、投标人所上传的电子化投标文件，应是通过中心投标文件制作系统制作的，经过签章和加密后生成的电子 版投标文件。生成的电子版投标文件包含用于投标文件上传的主文件（项目文件格式为：xxx 公司_ 项目名 称.file）和用于应急补救的投标文件备份文件（项目文件格式为：xxx 公司_ 项目名称.bin），备份文件主 要用于电子化开标出现技术问题后的补救，请投标人随身携带。 注：（1）投标人投报多个标段的，根据标段制作各个标段的投标文件后上传</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2、电子化投标文件应在投标截止时间前成功上传至平顶山市公共资源电子化交易系统。至投标截止时间止， 仍未上传成功的电子化投标文件将不予接收。 注：如按照电子化投标操作教材制作完成的电子化投标文件无法上传的，投标人应在投标截止时间前尽早的 联系中心技术人员，以便有充分的时间进行处理。投标人应充分考虑到处理技术问题和上传数据等工作所需 的时间问题，投标文件未在投标截止时间前成功上传的，其投标文件不予接收。</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（四）电子化项目开标、解密、唱标、评标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1、电子化投标文件采用双重加密方式。开标时，首先由投标人使用 CA 证书，在规定时间内对其电子化投标 文件进行首次解密，投标人解密完成后，再由中介服务机构使用 CA 证书对投标文件进行再次解密。</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2、电子化投标文件解密异常的处理 如出现投标人的电子投标文件无法解密的情况，投标人应及时联系中介服务机构说明。投标文件解密异常， 按以下步骤进行处理：</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（1）首先由技术人员进行问题排查。</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（2）经技术人员排查后，是投标人文件自身问题导致投标文件无法解密的，该投标文件将不予接收、解密和唱标，开标会议继续进行。</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（3）经技术人员排查后，如果是电子化交易系统问题造成投标文件无法解密的，将由技术人员对问题进行处 理。如短时间内问题无法解决的，将由中介服务机构向监督部门申请，经监督部门同意后，暂停开标会议， 待问题解决后继续开标。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3、待所有投标人投标文件解密完成后，由中介服务机构操作，对所有已解密投标文件进行唱标。</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4、评标时，评标委员会对电子化投标文件有质疑的，将通过电子化交易系统对投标人发起质疑。质疑回复内 容确认后，投标人的回复文件必须以经过投标人和其法定代表人签章的 PDF 格式文件为准，并通过电子化交 易系统提交至评标委员会。</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5、如评标委员会对需要回复的投标人回复内容有异议的，经过几次回复仍不清楚的，需在监督下进行免提电 话进行质疑。</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6、评标时如因系统异常、停电、电脑病毒、网络堵塞等原因无法正常进行的，由技术人员排查解决，短时 间无法解决的，经监督部门同意后，暂停评标活动，待问题解决后继续评标。</w:t>
      </w:r>
    </w:p>
    <w:p>
      <w:pPr>
        <w:jc w:val="both"/>
        <w:rPr>
          <w:rFonts w:hint="eastAsia" w:asciiTheme="minorEastAsia" w:hAnsiTheme="minorEastAsia" w:eastAsiaTheme="minorEastAsia" w:cstheme="minorEastAsia"/>
          <w:color w:val="auto"/>
          <w:highlight w:val="none"/>
        </w:rPr>
      </w:pPr>
    </w:p>
    <w:sectPr>
      <w:headerReference r:id="rId12" w:type="first"/>
      <w:footerReference r:id="rId14" w:type="first"/>
      <w:headerReference r:id="rId11" w:type="default"/>
      <w:footerReference r:id="rId13" w:type="default"/>
      <w:pgSz w:w="11906" w:h="16838"/>
      <w:pgMar w:top="1440" w:right="1080" w:bottom="1440" w:left="1080" w:header="1020" w:footer="850"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u w:val="single"/>
      </w:rPr>
    </w:pPr>
    <w:r>
      <w:rPr>
        <w:rFonts w:hint="eastAsia"/>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185"/>
        <w:tab w:val="clear" w:pos="4153"/>
        <w:tab w:val="clear" w:pos="8306"/>
      </w:tabs>
      <w:spacing w:line="0" w:lineRule="atLeast"/>
      <w:ind w:right="360"/>
      <w:rPr>
        <w:rFonts w:ascii="宋体" w:hAnsi="宋体"/>
        <w:b/>
        <w:bCs/>
        <w:color w:val="003366"/>
        <w:sz w:val="21"/>
        <w:szCs w:val="24"/>
      </w:rPr>
    </w:pPr>
    <w:r>
      <w:rPr>
        <w:rFonts w:hint="eastAsia" w:ascii="宋体" w:hAnsi="宋体"/>
        <w:b/>
        <w:bCs/>
        <w:color w:val="003366"/>
        <w:sz w:val="21"/>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185"/>
        <w:tab w:val="clear" w:pos="4153"/>
        <w:tab w:val="clear" w:pos="8306"/>
      </w:tabs>
      <w:spacing w:line="0" w:lineRule="atLeast"/>
      <w:ind w:right="360"/>
      <w:rPr>
        <w:rFonts w:ascii="宋体" w:hAnsi="宋体"/>
        <w:b/>
        <w:bCs/>
        <w:color w:val="003366"/>
        <w:sz w:val="21"/>
        <w:szCs w:val="24"/>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GmCS9MAAAAFAQAADwAA&#10;AAAAAAABACAAAAAiAAAAZHJzL2Rvd25yZXYueG1sUEsBAhQAFAAAAAgAh07iQLEUpt3iAQAAuwMA&#10;AA4AAAAAAAAAAQAgAAAAIgEAAGRycy9lMm9Eb2MueG1sUEsFBgAAAAAGAAYAWQEAAHYFAAAAAA==&#10;">
              <v:fill on="f" focussize="0,0"/>
              <v:stroke on="f" weight="1.2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b/>
        <w:bCs/>
        <w:color w:val="003366"/>
        <w:sz w:val="21"/>
        <w:szCs w:val="2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GmCS9MAAAAFAQAADwAA&#10;AAAAAAABACAAAAAiAAAAZHJzL2Rvd25yZXYueG1sUEsBAhQAFAAAAAgAh07iQA35vi/iAQAAuwMA&#10;AA4AAAAAAAAAAQAgAAAAIgEAAGRycy9lMm9Eb2MueG1sUEsFBgAAAAAGAAYAWQEAAHYFAAAAAA==&#10;">
              <v:fill on="f" focussize="0,0"/>
              <v:stroke on="f" weight="1.2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hpgkvTAAAABQEAAA8A&#10;AAAAAAAAAQAgAAAAIgAAAGRycy9kb3ducmV2LnhtbFBLAQIUABQAAAAIAIdO4kCBUagZ4wEAALsD&#10;AAAOAAAAAAAAAAEAIAAAACIBAABkcnMvZTJvRG9jLnhtbFBLBQYAAAAABgAGAFkBAAB3BQAAAAA=&#10;">
              <v:fill on="f" focussize="0,0"/>
              <v:stroke on="f" weight="1.2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Dmf6l+EBAAC8AwAA&#10;DgAAAAAAAAABACAAAAAiAQAAZHJzL2Uyb0RvYy54bWxQSwUGAAAAAAYABgBZAQAAdQUAAAAA&#10;">
              <v:fill on="f" focussize="0,0"/>
              <v:stroke on="f" weight="1.2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GmCS9MAAAAFAQAADwAA&#10;AAAAAAABACAAAAAiAAAAZHJzL2Rvd25yZXYueG1sUEsBAhQAFAAAAAgAh07iQDYyJlfiAQAAvAMA&#10;AA4AAAAAAAAAAQAgAAAAIgEAAGRycy9lMm9Eb2MueG1sUEsFBgAAAAAGAAYAWQEAAHYFAAAAAA==&#10;">
              <v:fill on="f" focussize="0,0"/>
              <v:stroke on="f" weight="1.25pt"/>
              <v:imagedata o:title=""/>
              <o:lock v:ext="edit" aspectratio="f"/>
              <v:textbox inset="0mm,0mm,0mm,0mm" style="mso-fit-shape-to-text:t;">
                <w:txbxContent>
                  <w:p>
                    <w:pPr>
                      <w:pStyle w:val="3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tabs>
        <w:tab w:val="clear" w:pos="4153"/>
      </w:tabs>
      <w:jc w:val="both"/>
      <w:rPr>
        <w:rFonts w:hint="eastAsia"/>
        <w:color w:val="auto"/>
        <w:sz w:val="20"/>
        <w:szCs w:val="20"/>
        <w:highlight w:val="none"/>
        <w:u w:val="single"/>
        <w:lang w:eastAsia="zh-CN"/>
      </w:rPr>
    </w:pPr>
  </w:p>
  <w:p>
    <w:pPr>
      <w:pStyle w:val="34"/>
      <w:pBdr>
        <w:bottom w:val="none" w:color="auto" w:sz="0" w:space="1"/>
      </w:pBdr>
      <w:tabs>
        <w:tab w:val="clear" w:pos="4153"/>
      </w:tabs>
      <w:jc w:val="left"/>
      <w:rPr>
        <w:rFonts w:hint="eastAsia"/>
        <w:sz w:val="24"/>
        <w:szCs w:val="24"/>
        <w:lang w:eastAsia="zh-CN"/>
      </w:rPr>
    </w:pPr>
    <w:r>
      <w:rPr>
        <w:rFonts w:hint="eastAsia"/>
        <w:color w:val="auto"/>
        <w:sz w:val="24"/>
        <w:szCs w:val="24"/>
        <w:highlight w:val="none"/>
        <w:u w:val="single"/>
        <w:lang w:eastAsia="zh-CN"/>
      </w:rPr>
      <w:t>平顶山东部客运枢纽站项目施工及监理（第二标段</w:t>
    </w:r>
    <w:r>
      <w:rPr>
        <w:rFonts w:hint="eastAsia"/>
        <w:color w:val="auto"/>
        <w:sz w:val="24"/>
        <w:szCs w:val="24"/>
        <w:highlight w:val="none"/>
        <w:u w:val="single"/>
        <w:lang w:val="en-US" w:eastAsia="zh-CN"/>
      </w:rPr>
      <w:t xml:space="preserve"> ）                         </w:t>
    </w:r>
    <w:r>
      <w:rPr>
        <w:rFonts w:hint="eastAsia"/>
        <w:color w:val="auto"/>
        <w:sz w:val="24"/>
        <w:szCs w:val="24"/>
        <w:highlight w:val="none"/>
        <w:u w:val="single"/>
        <w:lang w:eastAsia="zh-CN"/>
      </w:rPr>
      <w:t>招标文件</w:t>
    </w:r>
    <w:r>
      <w:rPr>
        <w:rFonts w:hint="eastAsia"/>
        <w:color w:val="auto"/>
        <w:sz w:val="24"/>
        <w:szCs w:val="24"/>
        <w:highlight w:val="none"/>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u w:val="none"/>
      </w:rPr>
    </w:pPr>
    <w:r>
      <w:rPr>
        <w:rFonts w:hint="eastAsia" w:asciiTheme="minorEastAsia" w:hAnsiTheme="minorEastAsia" w:eastAsiaTheme="minorEastAsia" w:cstheme="minorEastAsia"/>
        <w:color w:val="auto"/>
        <w:sz w:val="20"/>
        <w:szCs w:val="20"/>
        <w:highlight w:val="none"/>
        <w:lang w:val="en-US" w:eastAsia="zh-CN"/>
      </w:rPr>
      <w:t>平顶山东部客运枢纽站项目施工及监理</w:t>
    </w:r>
    <w:r>
      <w:rPr>
        <w:rFonts w:hint="eastAsia" w:ascii="宋体" w:hAnsi="宋体" w:cs="宋体"/>
        <w:color w:val="auto"/>
        <w:kern w:val="0"/>
        <w:sz w:val="16"/>
        <w:szCs w:val="16"/>
        <w:highlight w:val="none"/>
        <w:u w:val="none"/>
        <w:lang w:val="en-US" w:eastAsia="zh-CN"/>
      </w:rPr>
      <w:t xml:space="preserve"> （第二标段） </w:t>
    </w:r>
    <w:r>
      <w:rPr>
        <w:rFonts w:hint="eastAsia" w:ascii="宋体" w:hAnsi="宋体" w:cs="宋体"/>
        <w:color w:val="auto"/>
        <w:kern w:val="0"/>
        <w:sz w:val="18"/>
        <w:szCs w:val="18"/>
        <w:highlight w:val="none"/>
        <w:u w:val="none"/>
        <w:lang w:val="en-US" w:eastAsia="zh-CN"/>
      </w:rPr>
      <w:t xml:space="preserve">                      </w:t>
    </w:r>
    <w:r>
      <w:rPr>
        <w:rFonts w:hint="eastAsia" w:ascii="宋体" w:hAnsi="宋体" w:cs="宋体"/>
        <w:color w:val="000000"/>
        <w:spacing w:val="8"/>
        <w:sz w:val="18"/>
        <w:szCs w:val="18"/>
        <w:u w:val="none"/>
      </w:rPr>
      <w:t xml:space="preserve"> </w:t>
    </w:r>
    <w:r>
      <w:rPr>
        <w:rFonts w:hint="eastAsia" w:ascii="宋体" w:hAnsi="宋体" w:cs="宋体"/>
        <w:color w:val="000000"/>
        <w:spacing w:val="8"/>
        <w:sz w:val="18"/>
        <w:szCs w:val="18"/>
        <w:u w:val="none"/>
        <w:lang w:val="en-US" w:eastAsia="zh-CN"/>
      </w:rPr>
      <w:t xml:space="preserve">        </w:t>
    </w:r>
    <w:r>
      <w:rPr>
        <w:rFonts w:hint="eastAsia" w:ascii="宋体" w:hAnsi="宋体" w:cs="宋体"/>
        <w:color w:val="000000"/>
        <w:spacing w:val="8"/>
        <w:sz w:val="18"/>
        <w:szCs w:val="18"/>
        <w:u w:val="none"/>
      </w:rPr>
      <w:t>招标文件</w:t>
    </w:r>
    <w:r>
      <w:rPr>
        <w:rFonts w:hint="eastAsia" w:ascii="宋体" w:hAnsi="宋体" w:cs="宋体"/>
        <w:color w:val="000000"/>
        <w:spacing w:val="8"/>
        <w:sz w:val="18"/>
        <w:szCs w:val="18"/>
        <w:u w:val="none"/>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r>
      <w:rPr>
        <w:rFonts w:hint="eastAsia"/>
        <w:color w:val="auto"/>
        <w:highlight w:val="none"/>
        <w:u w:val="single"/>
        <w:lang w:eastAsia="zh-CN"/>
      </w:rPr>
      <w:t>平顶山东部客运枢纽站项目施工及监理（第二标段</w:t>
    </w:r>
    <w:r>
      <w:rPr>
        <w:rFonts w:hint="eastAsia"/>
        <w:color w:val="auto"/>
        <w:highlight w:val="none"/>
        <w:u w:val="single"/>
        <w:lang w:val="en-US" w:eastAsia="zh-CN"/>
      </w:rPr>
      <w:t xml:space="preserve"> ）                                       </w:t>
    </w:r>
    <w:r>
      <w:rPr>
        <w:rFonts w:hint="eastAsia"/>
        <w:color w:val="auto"/>
        <w:highlight w:val="none"/>
        <w:u w:val="single"/>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1CD0"/>
    <w:multiLevelType w:val="singleLevel"/>
    <w:tmpl w:val="97FF1CD0"/>
    <w:lvl w:ilvl="0" w:tentative="0">
      <w:start w:val="2"/>
      <w:numFmt w:val="decimal"/>
      <w:suff w:val="space"/>
      <w:lvlText w:val="%1、"/>
      <w:lvlJc w:val="left"/>
    </w:lvl>
  </w:abstractNum>
  <w:abstractNum w:abstractNumId="1">
    <w:nsid w:val="A3C50186"/>
    <w:multiLevelType w:val="singleLevel"/>
    <w:tmpl w:val="A3C50186"/>
    <w:lvl w:ilvl="0" w:tentative="0">
      <w:start w:val="2"/>
      <w:numFmt w:val="decimal"/>
      <w:suff w:val="nothing"/>
      <w:lvlText w:val="%1、"/>
      <w:lvlJc w:val="left"/>
      <w:pPr>
        <w:ind w:left="840" w:leftChars="0" w:firstLine="0" w:firstLineChars="0"/>
      </w:pPr>
    </w:lvl>
  </w:abstractNum>
  <w:abstractNum w:abstractNumId="2">
    <w:nsid w:val="00000017"/>
    <w:multiLevelType w:val="multilevel"/>
    <w:tmpl w:val="00000017"/>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D0DCF5C"/>
    <w:multiLevelType w:val="singleLevel"/>
    <w:tmpl w:val="2D0DCF5C"/>
    <w:lvl w:ilvl="0" w:tentative="0">
      <w:start w:val="8"/>
      <w:numFmt w:val="chineseCounting"/>
      <w:suff w:val="nothing"/>
      <w:lvlText w:val="%1、"/>
      <w:lvlJc w:val="left"/>
      <w:rPr>
        <w:rFonts w:hint="eastAsia"/>
      </w:rPr>
    </w:lvl>
  </w:abstractNum>
  <w:abstractNum w:abstractNumId="4">
    <w:nsid w:val="55CEB78E"/>
    <w:multiLevelType w:val="singleLevel"/>
    <w:tmpl w:val="55CEB78E"/>
    <w:lvl w:ilvl="0" w:tentative="0">
      <w:start w:val="5"/>
      <w:numFmt w:val="chineseCounting"/>
      <w:suff w:val="space"/>
      <w:lvlText w:val="第%1章"/>
      <w:lvlJc w:val="left"/>
    </w:lvl>
  </w:abstractNum>
  <w:abstractNum w:abstractNumId="5">
    <w:nsid w:val="59A82D21"/>
    <w:multiLevelType w:val="singleLevel"/>
    <w:tmpl w:val="59A82D21"/>
    <w:lvl w:ilvl="0" w:tentative="0">
      <w:start w:val="3"/>
      <w:numFmt w:val="chineseCounting"/>
      <w:suff w:val="space"/>
      <w:lvlText w:val="第%1章"/>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DdkZGE1YzQwZmYwNDM5MDM5MDY0YTkxYjRjM2YifQ=="/>
  </w:docVars>
  <w:rsids>
    <w:rsidRoot w:val="004660D4"/>
    <w:rsid w:val="000116A9"/>
    <w:rsid w:val="00017ED0"/>
    <w:rsid w:val="00075706"/>
    <w:rsid w:val="000A0B63"/>
    <w:rsid w:val="000D1082"/>
    <w:rsid w:val="001046C8"/>
    <w:rsid w:val="00117A99"/>
    <w:rsid w:val="00224CA7"/>
    <w:rsid w:val="003451E2"/>
    <w:rsid w:val="00382251"/>
    <w:rsid w:val="00432D9F"/>
    <w:rsid w:val="00446E21"/>
    <w:rsid w:val="004660D4"/>
    <w:rsid w:val="004E008E"/>
    <w:rsid w:val="00532500"/>
    <w:rsid w:val="005E2401"/>
    <w:rsid w:val="00651B8C"/>
    <w:rsid w:val="006D1FD3"/>
    <w:rsid w:val="007337F5"/>
    <w:rsid w:val="007F1F2A"/>
    <w:rsid w:val="008D7C98"/>
    <w:rsid w:val="0093651F"/>
    <w:rsid w:val="00990F57"/>
    <w:rsid w:val="00A506D7"/>
    <w:rsid w:val="00A63457"/>
    <w:rsid w:val="00A95931"/>
    <w:rsid w:val="00AB7640"/>
    <w:rsid w:val="00AD6BA6"/>
    <w:rsid w:val="00AE783A"/>
    <w:rsid w:val="00B95DA2"/>
    <w:rsid w:val="00BB7895"/>
    <w:rsid w:val="00BC390B"/>
    <w:rsid w:val="00BD320C"/>
    <w:rsid w:val="00CE0341"/>
    <w:rsid w:val="00D37FE3"/>
    <w:rsid w:val="00E416F9"/>
    <w:rsid w:val="00E67767"/>
    <w:rsid w:val="00EA19C5"/>
    <w:rsid w:val="00EC06C2"/>
    <w:rsid w:val="00EE7FA1"/>
    <w:rsid w:val="00F62231"/>
    <w:rsid w:val="010B7C88"/>
    <w:rsid w:val="01153519"/>
    <w:rsid w:val="011662DA"/>
    <w:rsid w:val="011805E9"/>
    <w:rsid w:val="011B5ABA"/>
    <w:rsid w:val="012920C2"/>
    <w:rsid w:val="01447CCA"/>
    <w:rsid w:val="014A4F59"/>
    <w:rsid w:val="01545B74"/>
    <w:rsid w:val="01591372"/>
    <w:rsid w:val="015A235B"/>
    <w:rsid w:val="01643B53"/>
    <w:rsid w:val="01691C4D"/>
    <w:rsid w:val="016D2B23"/>
    <w:rsid w:val="018D7852"/>
    <w:rsid w:val="01925A35"/>
    <w:rsid w:val="019551FF"/>
    <w:rsid w:val="019E57CC"/>
    <w:rsid w:val="01A55E41"/>
    <w:rsid w:val="01A87B16"/>
    <w:rsid w:val="01B576F6"/>
    <w:rsid w:val="01BB3E56"/>
    <w:rsid w:val="01BD7CAA"/>
    <w:rsid w:val="01BE4D76"/>
    <w:rsid w:val="01C16C51"/>
    <w:rsid w:val="01D01961"/>
    <w:rsid w:val="01EA422E"/>
    <w:rsid w:val="01F5219A"/>
    <w:rsid w:val="01F7249B"/>
    <w:rsid w:val="01FD1005"/>
    <w:rsid w:val="02044424"/>
    <w:rsid w:val="02221921"/>
    <w:rsid w:val="025015FC"/>
    <w:rsid w:val="025458BA"/>
    <w:rsid w:val="02596928"/>
    <w:rsid w:val="0276639A"/>
    <w:rsid w:val="029574F7"/>
    <w:rsid w:val="029E3FA2"/>
    <w:rsid w:val="02A42CCF"/>
    <w:rsid w:val="02AE45BB"/>
    <w:rsid w:val="02B17C52"/>
    <w:rsid w:val="02BD4671"/>
    <w:rsid w:val="02C22B6E"/>
    <w:rsid w:val="02C90B10"/>
    <w:rsid w:val="02DD0630"/>
    <w:rsid w:val="02E9278E"/>
    <w:rsid w:val="030A5515"/>
    <w:rsid w:val="031A59C9"/>
    <w:rsid w:val="03240DAE"/>
    <w:rsid w:val="033A5EA4"/>
    <w:rsid w:val="033B4260"/>
    <w:rsid w:val="035C64A0"/>
    <w:rsid w:val="035E5896"/>
    <w:rsid w:val="0363799C"/>
    <w:rsid w:val="03660410"/>
    <w:rsid w:val="03836A76"/>
    <w:rsid w:val="038F078B"/>
    <w:rsid w:val="03953A1B"/>
    <w:rsid w:val="03A52F56"/>
    <w:rsid w:val="03B137A6"/>
    <w:rsid w:val="03BF0A19"/>
    <w:rsid w:val="03BF2ECB"/>
    <w:rsid w:val="03BF3107"/>
    <w:rsid w:val="03C23C34"/>
    <w:rsid w:val="03D8561B"/>
    <w:rsid w:val="03F45BFC"/>
    <w:rsid w:val="03F77693"/>
    <w:rsid w:val="040024CF"/>
    <w:rsid w:val="040A684F"/>
    <w:rsid w:val="042042C5"/>
    <w:rsid w:val="0423363E"/>
    <w:rsid w:val="04234E71"/>
    <w:rsid w:val="043F26C5"/>
    <w:rsid w:val="04506958"/>
    <w:rsid w:val="04543FD1"/>
    <w:rsid w:val="045F0C47"/>
    <w:rsid w:val="046A3991"/>
    <w:rsid w:val="046B25F2"/>
    <w:rsid w:val="046B3D16"/>
    <w:rsid w:val="046F0068"/>
    <w:rsid w:val="046F532A"/>
    <w:rsid w:val="047E32F7"/>
    <w:rsid w:val="047F6414"/>
    <w:rsid w:val="04891F29"/>
    <w:rsid w:val="04AF59AA"/>
    <w:rsid w:val="04B60989"/>
    <w:rsid w:val="04BD1B14"/>
    <w:rsid w:val="04C57501"/>
    <w:rsid w:val="04DB104D"/>
    <w:rsid w:val="04F73883"/>
    <w:rsid w:val="051063E2"/>
    <w:rsid w:val="05161508"/>
    <w:rsid w:val="051C464E"/>
    <w:rsid w:val="05275A40"/>
    <w:rsid w:val="05360BCB"/>
    <w:rsid w:val="05380F5E"/>
    <w:rsid w:val="053953BB"/>
    <w:rsid w:val="05431828"/>
    <w:rsid w:val="05465FAD"/>
    <w:rsid w:val="05472C22"/>
    <w:rsid w:val="056F14F7"/>
    <w:rsid w:val="0577646A"/>
    <w:rsid w:val="057F6989"/>
    <w:rsid w:val="058633BD"/>
    <w:rsid w:val="05997F35"/>
    <w:rsid w:val="05AE7BEC"/>
    <w:rsid w:val="05CD1469"/>
    <w:rsid w:val="05F965A7"/>
    <w:rsid w:val="05FB28F4"/>
    <w:rsid w:val="060D5EF4"/>
    <w:rsid w:val="063977F6"/>
    <w:rsid w:val="063E7539"/>
    <w:rsid w:val="06431E9F"/>
    <w:rsid w:val="06447DBF"/>
    <w:rsid w:val="06591443"/>
    <w:rsid w:val="06602EA8"/>
    <w:rsid w:val="06687504"/>
    <w:rsid w:val="06842C6B"/>
    <w:rsid w:val="069405DB"/>
    <w:rsid w:val="06A9588B"/>
    <w:rsid w:val="06AB1BB8"/>
    <w:rsid w:val="06AD45F6"/>
    <w:rsid w:val="06B41E00"/>
    <w:rsid w:val="06B67423"/>
    <w:rsid w:val="06BB5CCC"/>
    <w:rsid w:val="06BB723A"/>
    <w:rsid w:val="06C56919"/>
    <w:rsid w:val="06CB6B33"/>
    <w:rsid w:val="06CC4290"/>
    <w:rsid w:val="06CD3BAC"/>
    <w:rsid w:val="06D17AEF"/>
    <w:rsid w:val="06D47D40"/>
    <w:rsid w:val="06F107CF"/>
    <w:rsid w:val="070954E4"/>
    <w:rsid w:val="0711546E"/>
    <w:rsid w:val="071D0B16"/>
    <w:rsid w:val="072D6857"/>
    <w:rsid w:val="072E2EDA"/>
    <w:rsid w:val="073574AB"/>
    <w:rsid w:val="07542E19"/>
    <w:rsid w:val="075E101F"/>
    <w:rsid w:val="07682AE8"/>
    <w:rsid w:val="07980F53"/>
    <w:rsid w:val="07A04551"/>
    <w:rsid w:val="07A312EE"/>
    <w:rsid w:val="07A346FC"/>
    <w:rsid w:val="07AF26D6"/>
    <w:rsid w:val="07AF6F0A"/>
    <w:rsid w:val="07D258D6"/>
    <w:rsid w:val="07DD173F"/>
    <w:rsid w:val="07E25233"/>
    <w:rsid w:val="0803236B"/>
    <w:rsid w:val="08156568"/>
    <w:rsid w:val="083C7890"/>
    <w:rsid w:val="083C7CD3"/>
    <w:rsid w:val="08403ACF"/>
    <w:rsid w:val="08515ED9"/>
    <w:rsid w:val="08647C5E"/>
    <w:rsid w:val="08675E7B"/>
    <w:rsid w:val="08747509"/>
    <w:rsid w:val="088F6F5F"/>
    <w:rsid w:val="089F68AD"/>
    <w:rsid w:val="08A07782"/>
    <w:rsid w:val="08AC25CB"/>
    <w:rsid w:val="08BD53A2"/>
    <w:rsid w:val="08C22B28"/>
    <w:rsid w:val="08CC692B"/>
    <w:rsid w:val="08D13790"/>
    <w:rsid w:val="08D46F74"/>
    <w:rsid w:val="08E97892"/>
    <w:rsid w:val="08F31FA8"/>
    <w:rsid w:val="08F77BD6"/>
    <w:rsid w:val="09091CFD"/>
    <w:rsid w:val="09157247"/>
    <w:rsid w:val="091B64CD"/>
    <w:rsid w:val="09247A0E"/>
    <w:rsid w:val="092B49E0"/>
    <w:rsid w:val="09310382"/>
    <w:rsid w:val="09354B58"/>
    <w:rsid w:val="09426CBA"/>
    <w:rsid w:val="09573801"/>
    <w:rsid w:val="095B42EE"/>
    <w:rsid w:val="096156B5"/>
    <w:rsid w:val="096626FB"/>
    <w:rsid w:val="096B04C7"/>
    <w:rsid w:val="098456D5"/>
    <w:rsid w:val="09A1557D"/>
    <w:rsid w:val="09B7010B"/>
    <w:rsid w:val="09B94AB7"/>
    <w:rsid w:val="09C40126"/>
    <w:rsid w:val="09D12837"/>
    <w:rsid w:val="09E60046"/>
    <w:rsid w:val="09EF386C"/>
    <w:rsid w:val="09FA317F"/>
    <w:rsid w:val="0A035E07"/>
    <w:rsid w:val="0A0F4207"/>
    <w:rsid w:val="0A270F80"/>
    <w:rsid w:val="0A2F1DA4"/>
    <w:rsid w:val="0A3E54A5"/>
    <w:rsid w:val="0A4000B3"/>
    <w:rsid w:val="0A5615A2"/>
    <w:rsid w:val="0A6B5FD7"/>
    <w:rsid w:val="0A8178E8"/>
    <w:rsid w:val="0A843D8B"/>
    <w:rsid w:val="0A986052"/>
    <w:rsid w:val="0AB04A31"/>
    <w:rsid w:val="0AD100C7"/>
    <w:rsid w:val="0AE62C28"/>
    <w:rsid w:val="0AF25D8D"/>
    <w:rsid w:val="0B05473A"/>
    <w:rsid w:val="0B061D3E"/>
    <w:rsid w:val="0B126D07"/>
    <w:rsid w:val="0B1E149B"/>
    <w:rsid w:val="0B3953E9"/>
    <w:rsid w:val="0B4251E6"/>
    <w:rsid w:val="0B4529C1"/>
    <w:rsid w:val="0B4D0E69"/>
    <w:rsid w:val="0B5275E9"/>
    <w:rsid w:val="0B566C42"/>
    <w:rsid w:val="0B5B7EFA"/>
    <w:rsid w:val="0B6335B3"/>
    <w:rsid w:val="0B6807AA"/>
    <w:rsid w:val="0B6E03CD"/>
    <w:rsid w:val="0B7F1083"/>
    <w:rsid w:val="0B830ACE"/>
    <w:rsid w:val="0B923441"/>
    <w:rsid w:val="0B966410"/>
    <w:rsid w:val="0BAD643E"/>
    <w:rsid w:val="0BB855EB"/>
    <w:rsid w:val="0BBD3DD0"/>
    <w:rsid w:val="0BC07195"/>
    <w:rsid w:val="0BC95965"/>
    <w:rsid w:val="0BCA3ADD"/>
    <w:rsid w:val="0BD94F0C"/>
    <w:rsid w:val="0BE07945"/>
    <w:rsid w:val="0BE710B2"/>
    <w:rsid w:val="0BF70001"/>
    <w:rsid w:val="0BFB02E7"/>
    <w:rsid w:val="0BFB183E"/>
    <w:rsid w:val="0C014938"/>
    <w:rsid w:val="0C175FAD"/>
    <w:rsid w:val="0C2472C1"/>
    <w:rsid w:val="0C2649F3"/>
    <w:rsid w:val="0C4C5649"/>
    <w:rsid w:val="0C645171"/>
    <w:rsid w:val="0C6C16C2"/>
    <w:rsid w:val="0C7800A7"/>
    <w:rsid w:val="0C896599"/>
    <w:rsid w:val="0C9677BE"/>
    <w:rsid w:val="0CA214DA"/>
    <w:rsid w:val="0CA55320"/>
    <w:rsid w:val="0CAA5C9D"/>
    <w:rsid w:val="0CB50FE6"/>
    <w:rsid w:val="0CB7628C"/>
    <w:rsid w:val="0CC51EAD"/>
    <w:rsid w:val="0CCC7301"/>
    <w:rsid w:val="0CCD1D7A"/>
    <w:rsid w:val="0CE93117"/>
    <w:rsid w:val="0CF10CF0"/>
    <w:rsid w:val="0CF6650F"/>
    <w:rsid w:val="0D0847F3"/>
    <w:rsid w:val="0D0C40C0"/>
    <w:rsid w:val="0D293174"/>
    <w:rsid w:val="0D3F6EAD"/>
    <w:rsid w:val="0D4447F5"/>
    <w:rsid w:val="0D5C6DA1"/>
    <w:rsid w:val="0D8A204A"/>
    <w:rsid w:val="0DB02216"/>
    <w:rsid w:val="0DC64614"/>
    <w:rsid w:val="0DD124B7"/>
    <w:rsid w:val="0DD56E47"/>
    <w:rsid w:val="0DE8533E"/>
    <w:rsid w:val="0DFA34A7"/>
    <w:rsid w:val="0E013494"/>
    <w:rsid w:val="0E115EBB"/>
    <w:rsid w:val="0E1472AA"/>
    <w:rsid w:val="0E3765F9"/>
    <w:rsid w:val="0E3A6663"/>
    <w:rsid w:val="0E3E7C06"/>
    <w:rsid w:val="0E4C657D"/>
    <w:rsid w:val="0E5113D9"/>
    <w:rsid w:val="0E531CB6"/>
    <w:rsid w:val="0E535E09"/>
    <w:rsid w:val="0E6072B1"/>
    <w:rsid w:val="0E6224B8"/>
    <w:rsid w:val="0E6B2BA7"/>
    <w:rsid w:val="0E8058CE"/>
    <w:rsid w:val="0E904CE6"/>
    <w:rsid w:val="0E9E4FA7"/>
    <w:rsid w:val="0EEB6D1D"/>
    <w:rsid w:val="0EF4563A"/>
    <w:rsid w:val="0EF607D6"/>
    <w:rsid w:val="0EFD5761"/>
    <w:rsid w:val="0F0D30A6"/>
    <w:rsid w:val="0F2A266B"/>
    <w:rsid w:val="0F381578"/>
    <w:rsid w:val="0F446412"/>
    <w:rsid w:val="0F4E5540"/>
    <w:rsid w:val="0F6375FA"/>
    <w:rsid w:val="0F825E34"/>
    <w:rsid w:val="0F8704BA"/>
    <w:rsid w:val="0F8F39C4"/>
    <w:rsid w:val="0F925C72"/>
    <w:rsid w:val="0F9F5574"/>
    <w:rsid w:val="0FB327C9"/>
    <w:rsid w:val="0FC548F5"/>
    <w:rsid w:val="0FC574C8"/>
    <w:rsid w:val="0FC669F6"/>
    <w:rsid w:val="0FC71EC9"/>
    <w:rsid w:val="0FDA2AC9"/>
    <w:rsid w:val="0FFB7A9A"/>
    <w:rsid w:val="100C6700"/>
    <w:rsid w:val="100D7161"/>
    <w:rsid w:val="100E1243"/>
    <w:rsid w:val="100F4B82"/>
    <w:rsid w:val="1011493F"/>
    <w:rsid w:val="10143511"/>
    <w:rsid w:val="10445812"/>
    <w:rsid w:val="104B3485"/>
    <w:rsid w:val="10694CE7"/>
    <w:rsid w:val="106A2B50"/>
    <w:rsid w:val="106C2B57"/>
    <w:rsid w:val="106D1746"/>
    <w:rsid w:val="108D0784"/>
    <w:rsid w:val="108D791B"/>
    <w:rsid w:val="10AD169E"/>
    <w:rsid w:val="10B23C4E"/>
    <w:rsid w:val="10D542D7"/>
    <w:rsid w:val="10DE709A"/>
    <w:rsid w:val="10E579F4"/>
    <w:rsid w:val="10FC2C7E"/>
    <w:rsid w:val="10FD7FE0"/>
    <w:rsid w:val="10FE5E27"/>
    <w:rsid w:val="110B1066"/>
    <w:rsid w:val="11207415"/>
    <w:rsid w:val="11271572"/>
    <w:rsid w:val="112F6550"/>
    <w:rsid w:val="11436139"/>
    <w:rsid w:val="114A4F4B"/>
    <w:rsid w:val="114B1810"/>
    <w:rsid w:val="114C6DED"/>
    <w:rsid w:val="114D1B7D"/>
    <w:rsid w:val="1155536C"/>
    <w:rsid w:val="1167271F"/>
    <w:rsid w:val="117232F1"/>
    <w:rsid w:val="117602CC"/>
    <w:rsid w:val="117D649E"/>
    <w:rsid w:val="118F436A"/>
    <w:rsid w:val="119177DF"/>
    <w:rsid w:val="1196024D"/>
    <w:rsid w:val="119A520B"/>
    <w:rsid w:val="119E611C"/>
    <w:rsid w:val="11A12F60"/>
    <w:rsid w:val="11A428A6"/>
    <w:rsid w:val="11A52D66"/>
    <w:rsid w:val="11B27E15"/>
    <w:rsid w:val="11C25525"/>
    <w:rsid w:val="11DA46BA"/>
    <w:rsid w:val="11E3175F"/>
    <w:rsid w:val="11F86FBF"/>
    <w:rsid w:val="120972F8"/>
    <w:rsid w:val="120A0392"/>
    <w:rsid w:val="120A2B35"/>
    <w:rsid w:val="120B4322"/>
    <w:rsid w:val="120E0775"/>
    <w:rsid w:val="12301157"/>
    <w:rsid w:val="12380AC2"/>
    <w:rsid w:val="125C37D4"/>
    <w:rsid w:val="12664BA3"/>
    <w:rsid w:val="1273425E"/>
    <w:rsid w:val="1283437F"/>
    <w:rsid w:val="12850115"/>
    <w:rsid w:val="128974C4"/>
    <w:rsid w:val="128E2CB2"/>
    <w:rsid w:val="12925367"/>
    <w:rsid w:val="12927B3E"/>
    <w:rsid w:val="12934515"/>
    <w:rsid w:val="12A35CD0"/>
    <w:rsid w:val="12B5291B"/>
    <w:rsid w:val="12B81FA4"/>
    <w:rsid w:val="12B849F0"/>
    <w:rsid w:val="12BD6860"/>
    <w:rsid w:val="12D07471"/>
    <w:rsid w:val="12E84419"/>
    <w:rsid w:val="12F1200F"/>
    <w:rsid w:val="13057D87"/>
    <w:rsid w:val="130A23AF"/>
    <w:rsid w:val="130D6910"/>
    <w:rsid w:val="130F2519"/>
    <w:rsid w:val="13115872"/>
    <w:rsid w:val="13196C03"/>
    <w:rsid w:val="13247CE0"/>
    <w:rsid w:val="13261EED"/>
    <w:rsid w:val="13294F44"/>
    <w:rsid w:val="133B384B"/>
    <w:rsid w:val="134F5155"/>
    <w:rsid w:val="1362799B"/>
    <w:rsid w:val="136662E0"/>
    <w:rsid w:val="13671A47"/>
    <w:rsid w:val="136F2438"/>
    <w:rsid w:val="13735983"/>
    <w:rsid w:val="137526B7"/>
    <w:rsid w:val="13860D94"/>
    <w:rsid w:val="13874C96"/>
    <w:rsid w:val="13920874"/>
    <w:rsid w:val="13960100"/>
    <w:rsid w:val="13970016"/>
    <w:rsid w:val="139D1A6F"/>
    <w:rsid w:val="13A82299"/>
    <w:rsid w:val="13AC3366"/>
    <w:rsid w:val="13AD4F3F"/>
    <w:rsid w:val="13B45DE4"/>
    <w:rsid w:val="13B81A42"/>
    <w:rsid w:val="13CC639E"/>
    <w:rsid w:val="13D05B97"/>
    <w:rsid w:val="13D9187D"/>
    <w:rsid w:val="14022942"/>
    <w:rsid w:val="141B21D4"/>
    <w:rsid w:val="142E6044"/>
    <w:rsid w:val="14407944"/>
    <w:rsid w:val="144968D3"/>
    <w:rsid w:val="144A5283"/>
    <w:rsid w:val="146124A6"/>
    <w:rsid w:val="14664B6C"/>
    <w:rsid w:val="146C447B"/>
    <w:rsid w:val="146D7D9D"/>
    <w:rsid w:val="1470128A"/>
    <w:rsid w:val="148B0641"/>
    <w:rsid w:val="148C3A10"/>
    <w:rsid w:val="14945C40"/>
    <w:rsid w:val="14974E8E"/>
    <w:rsid w:val="149C7250"/>
    <w:rsid w:val="14B32B98"/>
    <w:rsid w:val="14BD1184"/>
    <w:rsid w:val="14C21A42"/>
    <w:rsid w:val="14C53C3E"/>
    <w:rsid w:val="14C70BFE"/>
    <w:rsid w:val="14CC2E44"/>
    <w:rsid w:val="14D831AE"/>
    <w:rsid w:val="14E05D42"/>
    <w:rsid w:val="14E3628F"/>
    <w:rsid w:val="14E50DD5"/>
    <w:rsid w:val="14E91AA4"/>
    <w:rsid w:val="150A59CB"/>
    <w:rsid w:val="15110805"/>
    <w:rsid w:val="15144D68"/>
    <w:rsid w:val="15152C0F"/>
    <w:rsid w:val="15187B2C"/>
    <w:rsid w:val="1529047A"/>
    <w:rsid w:val="15294CF2"/>
    <w:rsid w:val="155A0E5B"/>
    <w:rsid w:val="156B10E2"/>
    <w:rsid w:val="157B3C11"/>
    <w:rsid w:val="157B5236"/>
    <w:rsid w:val="15A2106A"/>
    <w:rsid w:val="15AD651B"/>
    <w:rsid w:val="15B4540A"/>
    <w:rsid w:val="15CB3659"/>
    <w:rsid w:val="15D456E3"/>
    <w:rsid w:val="15DF4206"/>
    <w:rsid w:val="15E003B1"/>
    <w:rsid w:val="15EC0CCD"/>
    <w:rsid w:val="15F1748C"/>
    <w:rsid w:val="15F317C7"/>
    <w:rsid w:val="15FE3F2D"/>
    <w:rsid w:val="16000A92"/>
    <w:rsid w:val="16087407"/>
    <w:rsid w:val="160A0698"/>
    <w:rsid w:val="160F7DF4"/>
    <w:rsid w:val="16145784"/>
    <w:rsid w:val="161F68EF"/>
    <w:rsid w:val="16371758"/>
    <w:rsid w:val="16652D09"/>
    <w:rsid w:val="16702900"/>
    <w:rsid w:val="16720971"/>
    <w:rsid w:val="16725A74"/>
    <w:rsid w:val="16730AE0"/>
    <w:rsid w:val="167F0DA3"/>
    <w:rsid w:val="168C11E5"/>
    <w:rsid w:val="169644F1"/>
    <w:rsid w:val="16A50D85"/>
    <w:rsid w:val="16AF17F0"/>
    <w:rsid w:val="16B027EA"/>
    <w:rsid w:val="16CA2CB0"/>
    <w:rsid w:val="16CD2B81"/>
    <w:rsid w:val="16DF6820"/>
    <w:rsid w:val="16E42F30"/>
    <w:rsid w:val="16E457DF"/>
    <w:rsid w:val="16ED18EF"/>
    <w:rsid w:val="16F12E9E"/>
    <w:rsid w:val="170A35DA"/>
    <w:rsid w:val="171145D6"/>
    <w:rsid w:val="173B0042"/>
    <w:rsid w:val="17471420"/>
    <w:rsid w:val="174B34E2"/>
    <w:rsid w:val="17500E97"/>
    <w:rsid w:val="175A06E5"/>
    <w:rsid w:val="17636632"/>
    <w:rsid w:val="17783007"/>
    <w:rsid w:val="17820070"/>
    <w:rsid w:val="178B7136"/>
    <w:rsid w:val="179A36FC"/>
    <w:rsid w:val="179D0715"/>
    <w:rsid w:val="17A0748F"/>
    <w:rsid w:val="17C122BB"/>
    <w:rsid w:val="17D87972"/>
    <w:rsid w:val="17E138BB"/>
    <w:rsid w:val="17E240E1"/>
    <w:rsid w:val="17E5470F"/>
    <w:rsid w:val="18051E16"/>
    <w:rsid w:val="182300AF"/>
    <w:rsid w:val="182721FC"/>
    <w:rsid w:val="183741FE"/>
    <w:rsid w:val="18376D16"/>
    <w:rsid w:val="185A3097"/>
    <w:rsid w:val="186272EF"/>
    <w:rsid w:val="186977A6"/>
    <w:rsid w:val="18737C0F"/>
    <w:rsid w:val="18784278"/>
    <w:rsid w:val="18875B17"/>
    <w:rsid w:val="189C1D14"/>
    <w:rsid w:val="18A43C4E"/>
    <w:rsid w:val="18AB52AB"/>
    <w:rsid w:val="18D435A6"/>
    <w:rsid w:val="18EA4952"/>
    <w:rsid w:val="18FE782C"/>
    <w:rsid w:val="1913302B"/>
    <w:rsid w:val="19157CF2"/>
    <w:rsid w:val="19160E6C"/>
    <w:rsid w:val="191F0B84"/>
    <w:rsid w:val="19324427"/>
    <w:rsid w:val="19382078"/>
    <w:rsid w:val="194C2707"/>
    <w:rsid w:val="19557FEE"/>
    <w:rsid w:val="195D1DD0"/>
    <w:rsid w:val="197560D4"/>
    <w:rsid w:val="19805499"/>
    <w:rsid w:val="198E1CA1"/>
    <w:rsid w:val="1992781C"/>
    <w:rsid w:val="19D22066"/>
    <w:rsid w:val="19D61053"/>
    <w:rsid w:val="19DA04AC"/>
    <w:rsid w:val="19DD70F7"/>
    <w:rsid w:val="19DE18BA"/>
    <w:rsid w:val="19F13D4C"/>
    <w:rsid w:val="19F1594A"/>
    <w:rsid w:val="19FD4BEB"/>
    <w:rsid w:val="1A1066C8"/>
    <w:rsid w:val="1A2C5788"/>
    <w:rsid w:val="1A402B73"/>
    <w:rsid w:val="1A4838A8"/>
    <w:rsid w:val="1A485A7A"/>
    <w:rsid w:val="1A487488"/>
    <w:rsid w:val="1A5F517D"/>
    <w:rsid w:val="1A697AC7"/>
    <w:rsid w:val="1A6B7400"/>
    <w:rsid w:val="1A8E719F"/>
    <w:rsid w:val="1A907657"/>
    <w:rsid w:val="1A942CE8"/>
    <w:rsid w:val="1AA61D67"/>
    <w:rsid w:val="1AB71A7B"/>
    <w:rsid w:val="1AB91712"/>
    <w:rsid w:val="1ABC044C"/>
    <w:rsid w:val="1AC02C8F"/>
    <w:rsid w:val="1AC40F13"/>
    <w:rsid w:val="1AC95CDA"/>
    <w:rsid w:val="1AE658D1"/>
    <w:rsid w:val="1AE67034"/>
    <w:rsid w:val="1AF64E86"/>
    <w:rsid w:val="1AFC7CFC"/>
    <w:rsid w:val="1AFE0C57"/>
    <w:rsid w:val="1B0007BF"/>
    <w:rsid w:val="1B136AF7"/>
    <w:rsid w:val="1B1F397F"/>
    <w:rsid w:val="1B4C772E"/>
    <w:rsid w:val="1B4D079D"/>
    <w:rsid w:val="1B56627F"/>
    <w:rsid w:val="1B7251BA"/>
    <w:rsid w:val="1B770D03"/>
    <w:rsid w:val="1B8240E9"/>
    <w:rsid w:val="1B991EF8"/>
    <w:rsid w:val="1B995322"/>
    <w:rsid w:val="1B9C2190"/>
    <w:rsid w:val="1BAE3F3F"/>
    <w:rsid w:val="1BB83B3C"/>
    <w:rsid w:val="1BC2512A"/>
    <w:rsid w:val="1BC33CA6"/>
    <w:rsid w:val="1BCE28A5"/>
    <w:rsid w:val="1BCF17BC"/>
    <w:rsid w:val="1BEA523F"/>
    <w:rsid w:val="1BEB135D"/>
    <w:rsid w:val="1BF00E17"/>
    <w:rsid w:val="1BF97FD7"/>
    <w:rsid w:val="1C0117B8"/>
    <w:rsid w:val="1C06279D"/>
    <w:rsid w:val="1C1351B6"/>
    <w:rsid w:val="1C170EA3"/>
    <w:rsid w:val="1C1875A7"/>
    <w:rsid w:val="1C194405"/>
    <w:rsid w:val="1C2970A7"/>
    <w:rsid w:val="1C2A10DF"/>
    <w:rsid w:val="1C2E35CB"/>
    <w:rsid w:val="1C302DCD"/>
    <w:rsid w:val="1C306051"/>
    <w:rsid w:val="1C3E1135"/>
    <w:rsid w:val="1C417AD2"/>
    <w:rsid w:val="1C531AA9"/>
    <w:rsid w:val="1C5E5C3F"/>
    <w:rsid w:val="1C6237BE"/>
    <w:rsid w:val="1C7A0E7B"/>
    <w:rsid w:val="1C8226F5"/>
    <w:rsid w:val="1C9D67F4"/>
    <w:rsid w:val="1CB12E04"/>
    <w:rsid w:val="1CBC034E"/>
    <w:rsid w:val="1CCB5852"/>
    <w:rsid w:val="1CDD7EEB"/>
    <w:rsid w:val="1CDF1429"/>
    <w:rsid w:val="1CE371BD"/>
    <w:rsid w:val="1CEE1106"/>
    <w:rsid w:val="1CEF7518"/>
    <w:rsid w:val="1D07482D"/>
    <w:rsid w:val="1D132867"/>
    <w:rsid w:val="1D20013F"/>
    <w:rsid w:val="1D31501F"/>
    <w:rsid w:val="1D4226DF"/>
    <w:rsid w:val="1D7E4EDE"/>
    <w:rsid w:val="1D845B0F"/>
    <w:rsid w:val="1D852D42"/>
    <w:rsid w:val="1D971274"/>
    <w:rsid w:val="1D9814EE"/>
    <w:rsid w:val="1D9D20B7"/>
    <w:rsid w:val="1DA57444"/>
    <w:rsid w:val="1DAA4186"/>
    <w:rsid w:val="1DAB3EEB"/>
    <w:rsid w:val="1DAC1FEA"/>
    <w:rsid w:val="1DB344CC"/>
    <w:rsid w:val="1DB431ED"/>
    <w:rsid w:val="1DB7556C"/>
    <w:rsid w:val="1DB855EC"/>
    <w:rsid w:val="1DCB2ECF"/>
    <w:rsid w:val="1DD13230"/>
    <w:rsid w:val="1DE25885"/>
    <w:rsid w:val="1DE31D3D"/>
    <w:rsid w:val="1DEB0864"/>
    <w:rsid w:val="1DEF6FE2"/>
    <w:rsid w:val="1DF82963"/>
    <w:rsid w:val="1DFB44B0"/>
    <w:rsid w:val="1E294FCD"/>
    <w:rsid w:val="1E34253E"/>
    <w:rsid w:val="1E342917"/>
    <w:rsid w:val="1E365BA5"/>
    <w:rsid w:val="1E3C3CA9"/>
    <w:rsid w:val="1E412CB1"/>
    <w:rsid w:val="1E5707D0"/>
    <w:rsid w:val="1E655A20"/>
    <w:rsid w:val="1E6C296A"/>
    <w:rsid w:val="1E7D04C9"/>
    <w:rsid w:val="1E877EE7"/>
    <w:rsid w:val="1E8A2924"/>
    <w:rsid w:val="1E8B0FB4"/>
    <w:rsid w:val="1EA0174C"/>
    <w:rsid w:val="1EA442D4"/>
    <w:rsid w:val="1EBE15DE"/>
    <w:rsid w:val="1EC01DC0"/>
    <w:rsid w:val="1EC911D2"/>
    <w:rsid w:val="1ED0494D"/>
    <w:rsid w:val="1EDE6565"/>
    <w:rsid w:val="1EE2283A"/>
    <w:rsid w:val="1EEE400F"/>
    <w:rsid w:val="1EF73858"/>
    <w:rsid w:val="1F2B2044"/>
    <w:rsid w:val="1F2D7400"/>
    <w:rsid w:val="1F642DCD"/>
    <w:rsid w:val="1F677032"/>
    <w:rsid w:val="1F6D0EF6"/>
    <w:rsid w:val="1F7E48B7"/>
    <w:rsid w:val="1F8B6EC0"/>
    <w:rsid w:val="1F9C4222"/>
    <w:rsid w:val="1FA56DC9"/>
    <w:rsid w:val="1FB73314"/>
    <w:rsid w:val="1FBA6F24"/>
    <w:rsid w:val="1FC173A4"/>
    <w:rsid w:val="1FC65A2F"/>
    <w:rsid w:val="1FE71F67"/>
    <w:rsid w:val="1FE93942"/>
    <w:rsid w:val="1FEE40BC"/>
    <w:rsid w:val="1FF1797C"/>
    <w:rsid w:val="1FF710F6"/>
    <w:rsid w:val="201407D6"/>
    <w:rsid w:val="201D40E1"/>
    <w:rsid w:val="20237CCA"/>
    <w:rsid w:val="202C0BF3"/>
    <w:rsid w:val="204607B7"/>
    <w:rsid w:val="20584FC8"/>
    <w:rsid w:val="20590BB1"/>
    <w:rsid w:val="205A245E"/>
    <w:rsid w:val="20700C99"/>
    <w:rsid w:val="2078522E"/>
    <w:rsid w:val="208E0AC6"/>
    <w:rsid w:val="209A4AF0"/>
    <w:rsid w:val="20A55D79"/>
    <w:rsid w:val="20A71D9F"/>
    <w:rsid w:val="20AE6A7A"/>
    <w:rsid w:val="20AF063F"/>
    <w:rsid w:val="20B633C1"/>
    <w:rsid w:val="20C1400B"/>
    <w:rsid w:val="20C75D9C"/>
    <w:rsid w:val="20D02EA3"/>
    <w:rsid w:val="20E22001"/>
    <w:rsid w:val="20F574E0"/>
    <w:rsid w:val="210416A4"/>
    <w:rsid w:val="21070C2C"/>
    <w:rsid w:val="21126312"/>
    <w:rsid w:val="211364F3"/>
    <w:rsid w:val="213B049D"/>
    <w:rsid w:val="21466B78"/>
    <w:rsid w:val="21513366"/>
    <w:rsid w:val="21523ED5"/>
    <w:rsid w:val="215313DE"/>
    <w:rsid w:val="21634967"/>
    <w:rsid w:val="216F6EEA"/>
    <w:rsid w:val="217864E4"/>
    <w:rsid w:val="217E73D4"/>
    <w:rsid w:val="219E2042"/>
    <w:rsid w:val="21C2346A"/>
    <w:rsid w:val="21D5112C"/>
    <w:rsid w:val="21FC27A3"/>
    <w:rsid w:val="220C6191"/>
    <w:rsid w:val="220E2571"/>
    <w:rsid w:val="22146277"/>
    <w:rsid w:val="22152748"/>
    <w:rsid w:val="2215613C"/>
    <w:rsid w:val="22207533"/>
    <w:rsid w:val="22243FED"/>
    <w:rsid w:val="22274A59"/>
    <w:rsid w:val="22293265"/>
    <w:rsid w:val="22317567"/>
    <w:rsid w:val="223507FE"/>
    <w:rsid w:val="224243A2"/>
    <w:rsid w:val="224E0ECA"/>
    <w:rsid w:val="2254201F"/>
    <w:rsid w:val="225B04D6"/>
    <w:rsid w:val="2264137E"/>
    <w:rsid w:val="22663B2A"/>
    <w:rsid w:val="22786CFA"/>
    <w:rsid w:val="227B2F02"/>
    <w:rsid w:val="2292180F"/>
    <w:rsid w:val="22995F5D"/>
    <w:rsid w:val="22A90C8E"/>
    <w:rsid w:val="22CC1EA5"/>
    <w:rsid w:val="22D5670D"/>
    <w:rsid w:val="22E344BD"/>
    <w:rsid w:val="22FB1D2D"/>
    <w:rsid w:val="23003569"/>
    <w:rsid w:val="230318CB"/>
    <w:rsid w:val="230C4635"/>
    <w:rsid w:val="231129A3"/>
    <w:rsid w:val="2313165C"/>
    <w:rsid w:val="23133E1D"/>
    <w:rsid w:val="23181756"/>
    <w:rsid w:val="232329BF"/>
    <w:rsid w:val="232D5296"/>
    <w:rsid w:val="232E3823"/>
    <w:rsid w:val="23361909"/>
    <w:rsid w:val="235B79CB"/>
    <w:rsid w:val="23700025"/>
    <w:rsid w:val="237C6443"/>
    <w:rsid w:val="23815B98"/>
    <w:rsid w:val="238235D5"/>
    <w:rsid w:val="238610F6"/>
    <w:rsid w:val="238A4163"/>
    <w:rsid w:val="23A875D2"/>
    <w:rsid w:val="23AB7612"/>
    <w:rsid w:val="23E56890"/>
    <w:rsid w:val="23EA011B"/>
    <w:rsid w:val="23EF474D"/>
    <w:rsid w:val="240F671F"/>
    <w:rsid w:val="241363C1"/>
    <w:rsid w:val="243851A0"/>
    <w:rsid w:val="243E2746"/>
    <w:rsid w:val="244F408C"/>
    <w:rsid w:val="24697AF6"/>
    <w:rsid w:val="246B558F"/>
    <w:rsid w:val="249733A0"/>
    <w:rsid w:val="24984694"/>
    <w:rsid w:val="249A5550"/>
    <w:rsid w:val="249B1D7E"/>
    <w:rsid w:val="24A56852"/>
    <w:rsid w:val="24A74221"/>
    <w:rsid w:val="24AB4534"/>
    <w:rsid w:val="24AD6A65"/>
    <w:rsid w:val="24B829EC"/>
    <w:rsid w:val="24C25A01"/>
    <w:rsid w:val="24C41A18"/>
    <w:rsid w:val="24D43249"/>
    <w:rsid w:val="24D64271"/>
    <w:rsid w:val="24E17C56"/>
    <w:rsid w:val="24E444E2"/>
    <w:rsid w:val="24F72095"/>
    <w:rsid w:val="24F936C8"/>
    <w:rsid w:val="2507752A"/>
    <w:rsid w:val="250F5234"/>
    <w:rsid w:val="251251DD"/>
    <w:rsid w:val="25186DA3"/>
    <w:rsid w:val="25197971"/>
    <w:rsid w:val="25303055"/>
    <w:rsid w:val="253332E0"/>
    <w:rsid w:val="253442B0"/>
    <w:rsid w:val="253C2481"/>
    <w:rsid w:val="254B1244"/>
    <w:rsid w:val="255777B3"/>
    <w:rsid w:val="255A445E"/>
    <w:rsid w:val="255F513C"/>
    <w:rsid w:val="256369E0"/>
    <w:rsid w:val="256769A9"/>
    <w:rsid w:val="25684102"/>
    <w:rsid w:val="256A6F8F"/>
    <w:rsid w:val="25942B9B"/>
    <w:rsid w:val="259F0891"/>
    <w:rsid w:val="25AA0386"/>
    <w:rsid w:val="25BD0ED6"/>
    <w:rsid w:val="25BD4D68"/>
    <w:rsid w:val="25D81367"/>
    <w:rsid w:val="25DB333F"/>
    <w:rsid w:val="25EC6950"/>
    <w:rsid w:val="26107DC7"/>
    <w:rsid w:val="262B6714"/>
    <w:rsid w:val="262F6261"/>
    <w:rsid w:val="263126E0"/>
    <w:rsid w:val="26416398"/>
    <w:rsid w:val="26470797"/>
    <w:rsid w:val="26530362"/>
    <w:rsid w:val="26597496"/>
    <w:rsid w:val="267460D8"/>
    <w:rsid w:val="26864D74"/>
    <w:rsid w:val="26933136"/>
    <w:rsid w:val="269B3D4B"/>
    <w:rsid w:val="26A57D7A"/>
    <w:rsid w:val="26AB2BCC"/>
    <w:rsid w:val="26B818B2"/>
    <w:rsid w:val="26F50F86"/>
    <w:rsid w:val="26F86E94"/>
    <w:rsid w:val="26FC17ED"/>
    <w:rsid w:val="26FD7CC1"/>
    <w:rsid w:val="2702368A"/>
    <w:rsid w:val="271F7753"/>
    <w:rsid w:val="272E7CAC"/>
    <w:rsid w:val="27400487"/>
    <w:rsid w:val="275277B0"/>
    <w:rsid w:val="27801B8E"/>
    <w:rsid w:val="2783690B"/>
    <w:rsid w:val="2785354B"/>
    <w:rsid w:val="278E6C06"/>
    <w:rsid w:val="27B87AA9"/>
    <w:rsid w:val="27C907B6"/>
    <w:rsid w:val="27DA6854"/>
    <w:rsid w:val="27DD4CDB"/>
    <w:rsid w:val="27E43BCC"/>
    <w:rsid w:val="27F1180C"/>
    <w:rsid w:val="281F5E98"/>
    <w:rsid w:val="28207982"/>
    <w:rsid w:val="283645A0"/>
    <w:rsid w:val="28380F2C"/>
    <w:rsid w:val="283E7DC7"/>
    <w:rsid w:val="284A65FF"/>
    <w:rsid w:val="2852220B"/>
    <w:rsid w:val="28587C0C"/>
    <w:rsid w:val="28786881"/>
    <w:rsid w:val="288319AD"/>
    <w:rsid w:val="28832986"/>
    <w:rsid w:val="288F3427"/>
    <w:rsid w:val="28965E33"/>
    <w:rsid w:val="2898575E"/>
    <w:rsid w:val="289F74D9"/>
    <w:rsid w:val="28A53517"/>
    <w:rsid w:val="28B7059D"/>
    <w:rsid w:val="28BB3E25"/>
    <w:rsid w:val="28CC6DF1"/>
    <w:rsid w:val="291830EA"/>
    <w:rsid w:val="292E55B0"/>
    <w:rsid w:val="29337B0F"/>
    <w:rsid w:val="29412EFD"/>
    <w:rsid w:val="294D0E13"/>
    <w:rsid w:val="295A1F0D"/>
    <w:rsid w:val="296504B9"/>
    <w:rsid w:val="296C12A2"/>
    <w:rsid w:val="297043EA"/>
    <w:rsid w:val="29735780"/>
    <w:rsid w:val="29762398"/>
    <w:rsid w:val="298F3C55"/>
    <w:rsid w:val="29B06D81"/>
    <w:rsid w:val="29B273E0"/>
    <w:rsid w:val="29B360F6"/>
    <w:rsid w:val="29BE102C"/>
    <w:rsid w:val="29C30577"/>
    <w:rsid w:val="29D27CEB"/>
    <w:rsid w:val="29DC7541"/>
    <w:rsid w:val="29F65EAF"/>
    <w:rsid w:val="29FD652C"/>
    <w:rsid w:val="29FF5A89"/>
    <w:rsid w:val="2A0660AF"/>
    <w:rsid w:val="2A120A23"/>
    <w:rsid w:val="2A1D3E37"/>
    <w:rsid w:val="2A2E31CB"/>
    <w:rsid w:val="2A336056"/>
    <w:rsid w:val="2A575302"/>
    <w:rsid w:val="2A584367"/>
    <w:rsid w:val="2A59280E"/>
    <w:rsid w:val="2A5B16F4"/>
    <w:rsid w:val="2A5F7673"/>
    <w:rsid w:val="2A6059E7"/>
    <w:rsid w:val="2A6B3F74"/>
    <w:rsid w:val="2A725BA8"/>
    <w:rsid w:val="2A757717"/>
    <w:rsid w:val="2ABE7D86"/>
    <w:rsid w:val="2AC328EC"/>
    <w:rsid w:val="2AC4520B"/>
    <w:rsid w:val="2AC46EA9"/>
    <w:rsid w:val="2AE77114"/>
    <w:rsid w:val="2AFC2AE6"/>
    <w:rsid w:val="2B0726CE"/>
    <w:rsid w:val="2B0E2758"/>
    <w:rsid w:val="2B15273A"/>
    <w:rsid w:val="2B26547F"/>
    <w:rsid w:val="2B2924EB"/>
    <w:rsid w:val="2B360FD9"/>
    <w:rsid w:val="2B4B2413"/>
    <w:rsid w:val="2B596D74"/>
    <w:rsid w:val="2B665610"/>
    <w:rsid w:val="2B696007"/>
    <w:rsid w:val="2B7752A9"/>
    <w:rsid w:val="2B7979CF"/>
    <w:rsid w:val="2BC459FF"/>
    <w:rsid w:val="2BD825B3"/>
    <w:rsid w:val="2BD843F0"/>
    <w:rsid w:val="2BD93033"/>
    <w:rsid w:val="2BE622AA"/>
    <w:rsid w:val="2BF432F1"/>
    <w:rsid w:val="2BF46004"/>
    <w:rsid w:val="2BFB6C9A"/>
    <w:rsid w:val="2BFF467D"/>
    <w:rsid w:val="2C005FD6"/>
    <w:rsid w:val="2C017D39"/>
    <w:rsid w:val="2C044CD0"/>
    <w:rsid w:val="2C141847"/>
    <w:rsid w:val="2C16774B"/>
    <w:rsid w:val="2C44669B"/>
    <w:rsid w:val="2C4C0F7E"/>
    <w:rsid w:val="2C657EF6"/>
    <w:rsid w:val="2C691D21"/>
    <w:rsid w:val="2C704E91"/>
    <w:rsid w:val="2C827788"/>
    <w:rsid w:val="2C9E20A7"/>
    <w:rsid w:val="2CAB7A67"/>
    <w:rsid w:val="2CBD45DA"/>
    <w:rsid w:val="2CBF78D2"/>
    <w:rsid w:val="2CC31FA4"/>
    <w:rsid w:val="2CD71115"/>
    <w:rsid w:val="2CDB0B47"/>
    <w:rsid w:val="2CEA6254"/>
    <w:rsid w:val="2CF11CE3"/>
    <w:rsid w:val="2CFC03A8"/>
    <w:rsid w:val="2CFE6F5D"/>
    <w:rsid w:val="2D062CEB"/>
    <w:rsid w:val="2D0D36B6"/>
    <w:rsid w:val="2D152523"/>
    <w:rsid w:val="2D155A75"/>
    <w:rsid w:val="2D313213"/>
    <w:rsid w:val="2D353A25"/>
    <w:rsid w:val="2D3D5544"/>
    <w:rsid w:val="2D3F0449"/>
    <w:rsid w:val="2D4349B0"/>
    <w:rsid w:val="2D436F30"/>
    <w:rsid w:val="2D4F514F"/>
    <w:rsid w:val="2D5658B5"/>
    <w:rsid w:val="2D652BC5"/>
    <w:rsid w:val="2D7D1D1A"/>
    <w:rsid w:val="2D7F00FB"/>
    <w:rsid w:val="2DB15B07"/>
    <w:rsid w:val="2DB46D2F"/>
    <w:rsid w:val="2DBC0F1E"/>
    <w:rsid w:val="2DBF1E60"/>
    <w:rsid w:val="2DDE64D3"/>
    <w:rsid w:val="2DF81D38"/>
    <w:rsid w:val="2E1D6747"/>
    <w:rsid w:val="2E2662D3"/>
    <w:rsid w:val="2E476F13"/>
    <w:rsid w:val="2E5145B9"/>
    <w:rsid w:val="2E545AC5"/>
    <w:rsid w:val="2E5F6D9F"/>
    <w:rsid w:val="2E6309A6"/>
    <w:rsid w:val="2E96309D"/>
    <w:rsid w:val="2E9D58ED"/>
    <w:rsid w:val="2EA66FF1"/>
    <w:rsid w:val="2EB060C2"/>
    <w:rsid w:val="2EB536D8"/>
    <w:rsid w:val="2EC638B7"/>
    <w:rsid w:val="2ECE36EC"/>
    <w:rsid w:val="2ED72262"/>
    <w:rsid w:val="2ED86C61"/>
    <w:rsid w:val="2EDE2A79"/>
    <w:rsid w:val="2EE024B2"/>
    <w:rsid w:val="2EE52572"/>
    <w:rsid w:val="2EE957DB"/>
    <w:rsid w:val="2EF02962"/>
    <w:rsid w:val="2F0F257B"/>
    <w:rsid w:val="2F137319"/>
    <w:rsid w:val="2F165336"/>
    <w:rsid w:val="2F297E72"/>
    <w:rsid w:val="2F683CC7"/>
    <w:rsid w:val="2F726FF1"/>
    <w:rsid w:val="2F727D3D"/>
    <w:rsid w:val="2F792133"/>
    <w:rsid w:val="2F7E313A"/>
    <w:rsid w:val="2F7E6130"/>
    <w:rsid w:val="2F9062FC"/>
    <w:rsid w:val="2FAF5802"/>
    <w:rsid w:val="2FD23583"/>
    <w:rsid w:val="2FD911D3"/>
    <w:rsid w:val="2FDD0CE1"/>
    <w:rsid w:val="2FE17449"/>
    <w:rsid w:val="2FF13B66"/>
    <w:rsid w:val="30002D2F"/>
    <w:rsid w:val="30050B22"/>
    <w:rsid w:val="301637B8"/>
    <w:rsid w:val="301A29A8"/>
    <w:rsid w:val="301E1EA1"/>
    <w:rsid w:val="302E1A4D"/>
    <w:rsid w:val="302F1460"/>
    <w:rsid w:val="30321217"/>
    <w:rsid w:val="303571ED"/>
    <w:rsid w:val="303D5B88"/>
    <w:rsid w:val="3046204F"/>
    <w:rsid w:val="305141F2"/>
    <w:rsid w:val="30570FEE"/>
    <w:rsid w:val="305F7091"/>
    <w:rsid w:val="30622812"/>
    <w:rsid w:val="306A3B82"/>
    <w:rsid w:val="30781824"/>
    <w:rsid w:val="307A038C"/>
    <w:rsid w:val="30917919"/>
    <w:rsid w:val="309E3831"/>
    <w:rsid w:val="30A240CD"/>
    <w:rsid w:val="30A30058"/>
    <w:rsid w:val="30A30ED9"/>
    <w:rsid w:val="30A330BE"/>
    <w:rsid w:val="30A628B0"/>
    <w:rsid w:val="30C3457B"/>
    <w:rsid w:val="30D25DFE"/>
    <w:rsid w:val="30D31EF8"/>
    <w:rsid w:val="30DA4C66"/>
    <w:rsid w:val="30E054DB"/>
    <w:rsid w:val="30E77EB3"/>
    <w:rsid w:val="30EA07CC"/>
    <w:rsid w:val="30EC381A"/>
    <w:rsid w:val="30F26AEF"/>
    <w:rsid w:val="31094D39"/>
    <w:rsid w:val="3112273A"/>
    <w:rsid w:val="311578B8"/>
    <w:rsid w:val="311A63BF"/>
    <w:rsid w:val="311E2578"/>
    <w:rsid w:val="31262E0D"/>
    <w:rsid w:val="31447210"/>
    <w:rsid w:val="315071F3"/>
    <w:rsid w:val="315501D9"/>
    <w:rsid w:val="3162562C"/>
    <w:rsid w:val="31713AF1"/>
    <w:rsid w:val="31900005"/>
    <w:rsid w:val="31926582"/>
    <w:rsid w:val="31941EE0"/>
    <w:rsid w:val="31972362"/>
    <w:rsid w:val="319E58F7"/>
    <w:rsid w:val="31A560A6"/>
    <w:rsid w:val="31AE0D77"/>
    <w:rsid w:val="31C42B1A"/>
    <w:rsid w:val="31D666E0"/>
    <w:rsid w:val="31E24BA8"/>
    <w:rsid w:val="32003B30"/>
    <w:rsid w:val="3209332E"/>
    <w:rsid w:val="320B3F46"/>
    <w:rsid w:val="32130CA7"/>
    <w:rsid w:val="3215417D"/>
    <w:rsid w:val="321B4716"/>
    <w:rsid w:val="321C2D61"/>
    <w:rsid w:val="321F2DCE"/>
    <w:rsid w:val="322419B8"/>
    <w:rsid w:val="322F72FD"/>
    <w:rsid w:val="323857CD"/>
    <w:rsid w:val="323C784B"/>
    <w:rsid w:val="32470D2A"/>
    <w:rsid w:val="325A2D44"/>
    <w:rsid w:val="325A55DC"/>
    <w:rsid w:val="32610F6B"/>
    <w:rsid w:val="32671F53"/>
    <w:rsid w:val="327200EE"/>
    <w:rsid w:val="32721E54"/>
    <w:rsid w:val="32760B08"/>
    <w:rsid w:val="327666B4"/>
    <w:rsid w:val="327C388B"/>
    <w:rsid w:val="32993A23"/>
    <w:rsid w:val="32A35B5C"/>
    <w:rsid w:val="32BB1BA3"/>
    <w:rsid w:val="32BE45D0"/>
    <w:rsid w:val="32C63A80"/>
    <w:rsid w:val="32D76BDB"/>
    <w:rsid w:val="32EC2643"/>
    <w:rsid w:val="32F804FA"/>
    <w:rsid w:val="33090F17"/>
    <w:rsid w:val="330C03D6"/>
    <w:rsid w:val="33103DB8"/>
    <w:rsid w:val="331979CC"/>
    <w:rsid w:val="332765CB"/>
    <w:rsid w:val="332F0669"/>
    <w:rsid w:val="33331445"/>
    <w:rsid w:val="33442517"/>
    <w:rsid w:val="3354227E"/>
    <w:rsid w:val="33640865"/>
    <w:rsid w:val="336835E6"/>
    <w:rsid w:val="33770C89"/>
    <w:rsid w:val="337B2340"/>
    <w:rsid w:val="337C096C"/>
    <w:rsid w:val="337D1FA1"/>
    <w:rsid w:val="337F3E64"/>
    <w:rsid w:val="33870D24"/>
    <w:rsid w:val="33886E5A"/>
    <w:rsid w:val="339B42C8"/>
    <w:rsid w:val="33A93F74"/>
    <w:rsid w:val="33AA3451"/>
    <w:rsid w:val="33AA7393"/>
    <w:rsid w:val="33AE13BF"/>
    <w:rsid w:val="33AF17B4"/>
    <w:rsid w:val="33B73134"/>
    <w:rsid w:val="33C144CB"/>
    <w:rsid w:val="33CD67BF"/>
    <w:rsid w:val="33D34AA1"/>
    <w:rsid w:val="33E26C21"/>
    <w:rsid w:val="33E76048"/>
    <w:rsid w:val="33E9689F"/>
    <w:rsid w:val="33F702FE"/>
    <w:rsid w:val="33FD72D7"/>
    <w:rsid w:val="3406256E"/>
    <w:rsid w:val="34113C80"/>
    <w:rsid w:val="34132FE7"/>
    <w:rsid w:val="341952E2"/>
    <w:rsid w:val="34206A83"/>
    <w:rsid w:val="342E0801"/>
    <w:rsid w:val="34412A36"/>
    <w:rsid w:val="344175CA"/>
    <w:rsid w:val="346215B2"/>
    <w:rsid w:val="346C1225"/>
    <w:rsid w:val="346E6835"/>
    <w:rsid w:val="347C748D"/>
    <w:rsid w:val="34820105"/>
    <w:rsid w:val="34911949"/>
    <w:rsid w:val="34985DC9"/>
    <w:rsid w:val="34A26D74"/>
    <w:rsid w:val="34AA43E3"/>
    <w:rsid w:val="34AF2ACD"/>
    <w:rsid w:val="34B20D9E"/>
    <w:rsid w:val="34B87F5B"/>
    <w:rsid w:val="34CD7218"/>
    <w:rsid w:val="34CF214F"/>
    <w:rsid w:val="34D21CE1"/>
    <w:rsid w:val="34DA0AD3"/>
    <w:rsid w:val="34DF47EC"/>
    <w:rsid w:val="34E00038"/>
    <w:rsid w:val="34E1213A"/>
    <w:rsid w:val="35087D91"/>
    <w:rsid w:val="35183EC8"/>
    <w:rsid w:val="351D1FD7"/>
    <w:rsid w:val="351E6571"/>
    <w:rsid w:val="3520645D"/>
    <w:rsid w:val="352835FE"/>
    <w:rsid w:val="35373A5C"/>
    <w:rsid w:val="353C3BAC"/>
    <w:rsid w:val="35476E77"/>
    <w:rsid w:val="354B7BE4"/>
    <w:rsid w:val="35542987"/>
    <w:rsid w:val="356C7171"/>
    <w:rsid w:val="35706CD0"/>
    <w:rsid w:val="35711EBA"/>
    <w:rsid w:val="35721BAF"/>
    <w:rsid w:val="35725982"/>
    <w:rsid w:val="357D65D2"/>
    <w:rsid w:val="3586229B"/>
    <w:rsid w:val="35873C92"/>
    <w:rsid w:val="35B529D7"/>
    <w:rsid w:val="35BF274B"/>
    <w:rsid w:val="35CD5069"/>
    <w:rsid w:val="35D41D62"/>
    <w:rsid w:val="35D830FD"/>
    <w:rsid w:val="35D83309"/>
    <w:rsid w:val="35DE115C"/>
    <w:rsid w:val="35EA340A"/>
    <w:rsid w:val="35EA6AC9"/>
    <w:rsid w:val="35F36C73"/>
    <w:rsid w:val="35F54FB6"/>
    <w:rsid w:val="35F90E99"/>
    <w:rsid w:val="360614B4"/>
    <w:rsid w:val="360F1B4D"/>
    <w:rsid w:val="36175A66"/>
    <w:rsid w:val="361A5D5C"/>
    <w:rsid w:val="361E7731"/>
    <w:rsid w:val="36263C9E"/>
    <w:rsid w:val="363C3CAC"/>
    <w:rsid w:val="364D4ED5"/>
    <w:rsid w:val="365C7470"/>
    <w:rsid w:val="366D4177"/>
    <w:rsid w:val="367E5F15"/>
    <w:rsid w:val="367E6B74"/>
    <w:rsid w:val="36833222"/>
    <w:rsid w:val="368A7374"/>
    <w:rsid w:val="36A270D0"/>
    <w:rsid w:val="36B02444"/>
    <w:rsid w:val="36B57C75"/>
    <w:rsid w:val="36BC0B97"/>
    <w:rsid w:val="36BC533B"/>
    <w:rsid w:val="36CD088D"/>
    <w:rsid w:val="36D21E00"/>
    <w:rsid w:val="36D905A2"/>
    <w:rsid w:val="36E2388D"/>
    <w:rsid w:val="36E85F97"/>
    <w:rsid w:val="37184083"/>
    <w:rsid w:val="372009B0"/>
    <w:rsid w:val="373608F6"/>
    <w:rsid w:val="373750B3"/>
    <w:rsid w:val="373A2517"/>
    <w:rsid w:val="373E383B"/>
    <w:rsid w:val="374971E9"/>
    <w:rsid w:val="374C2A45"/>
    <w:rsid w:val="37526CF3"/>
    <w:rsid w:val="3761025D"/>
    <w:rsid w:val="37681D43"/>
    <w:rsid w:val="377619B6"/>
    <w:rsid w:val="37962DE9"/>
    <w:rsid w:val="37994378"/>
    <w:rsid w:val="379E73FF"/>
    <w:rsid w:val="37BA5D50"/>
    <w:rsid w:val="37BF4EE8"/>
    <w:rsid w:val="37C15E53"/>
    <w:rsid w:val="37C17062"/>
    <w:rsid w:val="37C31525"/>
    <w:rsid w:val="37CB2CB1"/>
    <w:rsid w:val="37CB7AC8"/>
    <w:rsid w:val="37D95960"/>
    <w:rsid w:val="37E138A3"/>
    <w:rsid w:val="37F5787F"/>
    <w:rsid w:val="38067B38"/>
    <w:rsid w:val="380C6E65"/>
    <w:rsid w:val="381D797A"/>
    <w:rsid w:val="381E3AAD"/>
    <w:rsid w:val="382B2E71"/>
    <w:rsid w:val="38311223"/>
    <w:rsid w:val="384040ED"/>
    <w:rsid w:val="38407ACD"/>
    <w:rsid w:val="38417D8A"/>
    <w:rsid w:val="384A645D"/>
    <w:rsid w:val="38566014"/>
    <w:rsid w:val="385908C8"/>
    <w:rsid w:val="385D74A2"/>
    <w:rsid w:val="38622073"/>
    <w:rsid w:val="38726505"/>
    <w:rsid w:val="388A37E9"/>
    <w:rsid w:val="389428D3"/>
    <w:rsid w:val="38962A2C"/>
    <w:rsid w:val="38A23857"/>
    <w:rsid w:val="38A53FFE"/>
    <w:rsid w:val="38B50F27"/>
    <w:rsid w:val="38C81C23"/>
    <w:rsid w:val="38CF73A7"/>
    <w:rsid w:val="38D24B5C"/>
    <w:rsid w:val="38D43774"/>
    <w:rsid w:val="38FE5C7B"/>
    <w:rsid w:val="390D07CA"/>
    <w:rsid w:val="39336165"/>
    <w:rsid w:val="395113F2"/>
    <w:rsid w:val="39825BAA"/>
    <w:rsid w:val="398B6A4D"/>
    <w:rsid w:val="398E34A3"/>
    <w:rsid w:val="39911B13"/>
    <w:rsid w:val="39B1230B"/>
    <w:rsid w:val="39B908B3"/>
    <w:rsid w:val="39CB1BC4"/>
    <w:rsid w:val="39CC3EF3"/>
    <w:rsid w:val="39D06591"/>
    <w:rsid w:val="39E214E8"/>
    <w:rsid w:val="39E8277A"/>
    <w:rsid w:val="39EC5F44"/>
    <w:rsid w:val="39F04891"/>
    <w:rsid w:val="39FD51A7"/>
    <w:rsid w:val="39FF415A"/>
    <w:rsid w:val="3A03179B"/>
    <w:rsid w:val="3A097158"/>
    <w:rsid w:val="3A0F1B02"/>
    <w:rsid w:val="3A2A7CA7"/>
    <w:rsid w:val="3A2C2F6D"/>
    <w:rsid w:val="3A2D3385"/>
    <w:rsid w:val="3A2E0457"/>
    <w:rsid w:val="3A315C03"/>
    <w:rsid w:val="3A412045"/>
    <w:rsid w:val="3A4122DC"/>
    <w:rsid w:val="3A517B50"/>
    <w:rsid w:val="3A5659D2"/>
    <w:rsid w:val="3A5E1CAB"/>
    <w:rsid w:val="3A602D81"/>
    <w:rsid w:val="3A6A3271"/>
    <w:rsid w:val="3A744AFC"/>
    <w:rsid w:val="3AAA7A11"/>
    <w:rsid w:val="3AAB0BE5"/>
    <w:rsid w:val="3ABD37EB"/>
    <w:rsid w:val="3AC25FD3"/>
    <w:rsid w:val="3AC84793"/>
    <w:rsid w:val="3ACF78CF"/>
    <w:rsid w:val="3AD1189A"/>
    <w:rsid w:val="3AD93E12"/>
    <w:rsid w:val="3AE25855"/>
    <w:rsid w:val="3AE753F5"/>
    <w:rsid w:val="3AEE244B"/>
    <w:rsid w:val="3B02185C"/>
    <w:rsid w:val="3B09578C"/>
    <w:rsid w:val="3B096FF9"/>
    <w:rsid w:val="3B180152"/>
    <w:rsid w:val="3B2509C9"/>
    <w:rsid w:val="3B252ACE"/>
    <w:rsid w:val="3B2A3A4B"/>
    <w:rsid w:val="3B3003B9"/>
    <w:rsid w:val="3B4A3EEF"/>
    <w:rsid w:val="3B4E2EEA"/>
    <w:rsid w:val="3B5F5560"/>
    <w:rsid w:val="3B62511B"/>
    <w:rsid w:val="3B6D6A2F"/>
    <w:rsid w:val="3B700FF6"/>
    <w:rsid w:val="3B701E05"/>
    <w:rsid w:val="3B7600B7"/>
    <w:rsid w:val="3B7D6C1A"/>
    <w:rsid w:val="3B7E7F43"/>
    <w:rsid w:val="3B8A2694"/>
    <w:rsid w:val="3B9C1C45"/>
    <w:rsid w:val="3B9D4B65"/>
    <w:rsid w:val="3B9F127F"/>
    <w:rsid w:val="3BA3460C"/>
    <w:rsid w:val="3BB03906"/>
    <w:rsid w:val="3BB730EC"/>
    <w:rsid w:val="3BB942F7"/>
    <w:rsid w:val="3BBA0580"/>
    <w:rsid w:val="3BCE1516"/>
    <w:rsid w:val="3BDB795B"/>
    <w:rsid w:val="3BDD2DF4"/>
    <w:rsid w:val="3BF167AA"/>
    <w:rsid w:val="3BFE347B"/>
    <w:rsid w:val="3C067321"/>
    <w:rsid w:val="3C173E55"/>
    <w:rsid w:val="3C2670E5"/>
    <w:rsid w:val="3C395CAB"/>
    <w:rsid w:val="3C3C550A"/>
    <w:rsid w:val="3C5A5DCB"/>
    <w:rsid w:val="3C731BC3"/>
    <w:rsid w:val="3C753C8C"/>
    <w:rsid w:val="3C805325"/>
    <w:rsid w:val="3C814EEA"/>
    <w:rsid w:val="3C853068"/>
    <w:rsid w:val="3C8E5159"/>
    <w:rsid w:val="3C931B81"/>
    <w:rsid w:val="3CA8487C"/>
    <w:rsid w:val="3CB15090"/>
    <w:rsid w:val="3CC630FB"/>
    <w:rsid w:val="3CF40902"/>
    <w:rsid w:val="3D0B3413"/>
    <w:rsid w:val="3D1D2B74"/>
    <w:rsid w:val="3D1F62FC"/>
    <w:rsid w:val="3D2E2B54"/>
    <w:rsid w:val="3D3B56F0"/>
    <w:rsid w:val="3D423392"/>
    <w:rsid w:val="3D4B4485"/>
    <w:rsid w:val="3D7038CD"/>
    <w:rsid w:val="3D816005"/>
    <w:rsid w:val="3D8362C4"/>
    <w:rsid w:val="3D863E10"/>
    <w:rsid w:val="3D906C1A"/>
    <w:rsid w:val="3DB71C18"/>
    <w:rsid w:val="3DBC1B12"/>
    <w:rsid w:val="3DCB6731"/>
    <w:rsid w:val="3DD5495D"/>
    <w:rsid w:val="3DE10AF3"/>
    <w:rsid w:val="3DF12DDB"/>
    <w:rsid w:val="3DF3687D"/>
    <w:rsid w:val="3E0C7DA4"/>
    <w:rsid w:val="3E177744"/>
    <w:rsid w:val="3E301E1A"/>
    <w:rsid w:val="3E3B3163"/>
    <w:rsid w:val="3E495BEB"/>
    <w:rsid w:val="3E520469"/>
    <w:rsid w:val="3E686071"/>
    <w:rsid w:val="3E86299B"/>
    <w:rsid w:val="3E864198"/>
    <w:rsid w:val="3E987AF8"/>
    <w:rsid w:val="3EA17292"/>
    <w:rsid w:val="3EA719B5"/>
    <w:rsid w:val="3EC06377"/>
    <w:rsid w:val="3EC07691"/>
    <w:rsid w:val="3EC252F3"/>
    <w:rsid w:val="3ECB7694"/>
    <w:rsid w:val="3ECD0AC8"/>
    <w:rsid w:val="3ED47614"/>
    <w:rsid w:val="3EEA1CBF"/>
    <w:rsid w:val="3F007355"/>
    <w:rsid w:val="3F133B52"/>
    <w:rsid w:val="3F27755E"/>
    <w:rsid w:val="3F2A1664"/>
    <w:rsid w:val="3F2E0148"/>
    <w:rsid w:val="3F3643C1"/>
    <w:rsid w:val="3F474EE8"/>
    <w:rsid w:val="3F5A2F98"/>
    <w:rsid w:val="3F6D3F83"/>
    <w:rsid w:val="3F6F42B0"/>
    <w:rsid w:val="3F736F92"/>
    <w:rsid w:val="3F98167E"/>
    <w:rsid w:val="3FA03427"/>
    <w:rsid w:val="3FB73C41"/>
    <w:rsid w:val="3FE80686"/>
    <w:rsid w:val="3FE819EB"/>
    <w:rsid w:val="3FEB4A4E"/>
    <w:rsid w:val="3FF912D2"/>
    <w:rsid w:val="40012051"/>
    <w:rsid w:val="40061999"/>
    <w:rsid w:val="40086176"/>
    <w:rsid w:val="40330101"/>
    <w:rsid w:val="40450B67"/>
    <w:rsid w:val="404D0E37"/>
    <w:rsid w:val="406A4F00"/>
    <w:rsid w:val="406C74BF"/>
    <w:rsid w:val="40793044"/>
    <w:rsid w:val="407F384C"/>
    <w:rsid w:val="40984181"/>
    <w:rsid w:val="40C06849"/>
    <w:rsid w:val="40D0010A"/>
    <w:rsid w:val="40D959B4"/>
    <w:rsid w:val="40DF690C"/>
    <w:rsid w:val="40E041A1"/>
    <w:rsid w:val="40FC1E55"/>
    <w:rsid w:val="40FE0F0E"/>
    <w:rsid w:val="41081A61"/>
    <w:rsid w:val="413508CE"/>
    <w:rsid w:val="414C4BF4"/>
    <w:rsid w:val="41513871"/>
    <w:rsid w:val="41531DF1"/>
    <w:rsid w:val="41701CB1"/>
    <w:rsid w:val="41725E41"/>
    <w:rsid w:val="41737A43"/>
    <w:rsid w:val="417466BA"/>
    <w:rsid w:val="417A2321"/>
    <w:rsid w:val="41816E84"/>
    <w:rsid w:val="41A7389A"/>
    <w:rsid w:val="41A9285A"/>
    <w:rsid w:val="41B63059"/>
    <w:rsid w:val="41C52D86"/>
    <w:rsid w:val="41E338EF"/>
    <w:rsid w:val="41E62D22"/>
    <w:rsid w:val="41E86A88"/>
    <w:rsid w:val="41EA5453"/>
    <w:rsid w:val="41EE19E0"/>
    <w:rsid w:val="420430BA"/>
    <w:rsid w:val="423D15C3"/>
    <w:rsid w:val="42421322"/>
    <w:rsid w:val="424B351A"/>
    <w:rsid w:val="424B7ECF"/>
    <w:rsid w:val="426B6130"/>
    <w:rsid w:val="4280450B"/>
    <w:rsid w:val="428D5A45"/>
    <w:rsid w:val="429552CE"/>
    <w:rsid w:val="42984209"/>
    <w:rsid w:val="429C14C1"/>
    <w:rsid w:val="42A46FBB"/>
    <w:rsid w:val="42C12DF7"/>
    <w:rsid w:val="42C80730"/>
    <w:rsid w:val="42C82319"/>
    <w:rsid w:val="42DD58BF"/>
    <w:rsid w:val="42E33ECC"/>
    <w:rsid w:val="42F911E7"/>
    <w:rsid w:val="42FA7CEF"/>
    <w:rsid w:val="43090919"/>
    <w:rsid w:val="430A0B8A"/>
    <w:rsid w:val="431151B7"/>
    <w:rsid w:val="431C15E9"/>
    <w:rsid w:val="434743E7"/>
    <w:rsid w:val="434E1B53"/>
    <w:rsid w:val="434F15AD"/>
    <w:rsid w:val="43552525"/>
    <w:rsid w:val="435B6CF5"/>
    <w:rsid w:val="435F35BA"/>
    <w:rsid w:val="438864B0"/>
    <w:rsid w:val="43911EEB"/>
    <w:rsid w:val="43947A57"/>
    <w:rsid w:val="4397569A"/>
    <w:rsid w:val="43B74727"/>
    <w:rsid w:val="43B90659"/>
    <w:rsid w:val="43C8715B"/>
    <w:rsid w:val="43E729F2"/>
    <w:rsid w:val="43FE7FCC"/>
    <w:rsid w:val="44144BB1"/>
    <w:rsid w:val="4424669A"/>
    <w:rsid w:val="442E2AE7"/>
    <w:rsid w:val="442F1D51"/>
    <w:rsid w:val="443D6866"/>
    <w:rsid w:val="443F00A2"/>
    <w:rsid w:val="44546ACE"/>
    <w:rsid w:val="445E033A"/>
    <w:rsid w:val="44676DCB"/>
    <w:rsid w:val="4469512C"/>
    <w:rsid w:val="447745FC"/>
    <w:rsid w:val="447D1D08"/>
    <w:rsid w:val="447F4114"/>
    <w:rsid w:val="448259B3"/>
    <w:rsid w:val="44857A84"/>
    <w:rsid w:val="448E264E"/>
    <w:rsid w:val="44A05529"/>
    <w:rsid w:val="44A17E53"/>
    <w:rsid w:val="44BD0FB6"/>
    <w:rsid w:val="44C71E94"/>
    <w:rsid w:val="44CD6CAE"/>
    <w:rsid w:val="44D120A4"/>
    <w:rsid w:val="44D96FF2"/>
    <w:rsid w:val="44E036CA"/>
    <w:rsid w:val="44E31645"/>
    <w:rsid w:val="44FD6ACE"/>
    <w:rsid w:val="450E18EF"/>
    <w:rsid w:val="450F0C5C"/>
    <w:rsid w:val="451E56DB"/>
    <w:rsid w:val="45243434"/>
    <w:rsid w:val="45276C35"/>
    <w:rsid w:val="45461422"/>
    <w:rsid w:val="45543736"/>
    <w:rsid w:val="455D3404"/>
    <w:rsid w:val="45762C01"/>
    <w:rsid w:val="458D5752"/>
    <w:rsid w:val="458D658E"/>
    <w:rsid w:val="458F2991"/>
    <w:rsid w:val="4599380E"/>
    <w:rsid w:val="459D7069"/>
    <w:rsid w:val="45B35D7C"/>
    <w:rsid w:val="45D41EEA"/>
    <w:rsid w:val="45EB22C7"/>
    <w:rsid w:val="45F5463A"/>
    <w:rsid w:val="45F9627D"/>
    <w:rsid w:val="460566CC"/>
    <w:rsid w:val="462E5C37"/>
    <w:rsid w:val="46326F64"/>
    <w:rsid w:val="463D74B3"/>
    <w:rsid w:val="465D0A14"/>
    <w:rsid w:val="465F1C0F"/>
    <w:rsid w:val="465F5FAB"/>
    <w:rsid w:val="4672540E"/>
    <w:rsid w:val="46746661"/>
    <w:rsid w:val="46787FAE"/>
    <w:rsid w:val="467E637D"/>
    <w:rsid w:val="467F4BF9"/>
    <w:rsid w:val="468F0380"/>
    <w:rsid w:val="46915ABF"/>
    <w:rsid w:val="46A679AB"/>
    <w:rsid w:val="46A71059"/>
    <w:rsid w:val="46B00CC0"/>
    <w:rsid w:val="46B02CAB"/>
    <w:rsid w:val="46B2437C"/>
    <w:rsid w:val="46C70DA4"/>
    <w:rsid w:val="46CC0573"/>
    <w:rsid w:val="46DA432D"/>
    <w:rsid w:val="46DC6B17"/>
    <w:rsid w:val="46DE086B"/>
    <w:rsid w:val="46E313D7"/>
    <w:rsid w:val="47141EE6"/>
    <w:rsid w:val="471F1DA0"/>
    <w:rsid w:val="47226D9F"/>
    <w:rsid w:val="473C6F36"/>
    <w:rsid w:val="473D04EB"/>
    <w:rsid w:val="474E0A7F"/>
    <w:rsid w:val="47511C4F"/>
    <w:rsid w:val="478A6C79"/>
    <w:rsid w:val="479C5FFF"/>
    <w:rsid w:val="47A125F4"/>
    <w:rsid w:val="47AF2D67"/>
    <w:rsid w:val="47B70069"/>
    <w:rsid w:val="47CD4FDD"/>
    <w:rsid w:val="47DF02CC"/>
    <w:rsid w:val="47E416E9"/>
    <w:rsid w:val="47E7209B"/>
    <w:rsid w:val="47ED5134"/>
    <w:rsid w:val="47EF2ACE"/>
    <w:rsid w:val="47FB773F"/>
    <w:rsid w:val="48006E46"/>
    <w:rsid w:val="4815030F"/>
    <w:rsid w:val="483E6325"/>
    <w:rsid w:val="48541635"/>
    <w:rsid w:val="486139CD"/>
    <w:rsid w:val="48646E06"/>
    <w:rsid w:val="48691F38"/>
    <w:rsid w:val="486B479D"/>
    <w:rsid w:val="487E0D7E"/>
    <w:rsid w:val="48811C13"/>
    <w:rsid w:val="4882055C"/>
    <w:rsid w:val="4882624F"/>
    <w:rsid w:val="4889090E"/>
    <w:rsid w:val="48B00245"/>
    <w:rsid w:val="48B41E5B"/>
    <w:rsid w:val="48D47255"/>
    <w:rsid w:val="48DA702B"/>
    <w:rsid w:val="48DE574A"/>
    <w:rsid w:val="48DF766F"/>
    <w:rsid w:val="48E27E91"/>
    <w:rsid w:val="48EF21D7"/>
    <w:rsid w:val="490D2D5B"/>
    <w:rsid w:val="49167124"/>
    <w:rsid w:val="493974EE"/>
    <w:rsid w:val="493B2713"/>
    <w:rsid w:val="494021FE"/>
    <w:rsid w:val="494711F5"/>
    <w:rsid w:val="494B5031"/>
    <w:rsid w:val="494D0AA3"/>
    <w:rsid w:val="49536423"/>
    <w:rsid w:val="495814D6"/>
    <w:rsid w:val="49657683"/>
    <w:rsid w:val="49782614"/>
    <w:rsid w:val="497A4322"/>
    <w:rsid w:val="49845D8A"/>
    <w:rsid w:val="498A137B"/>
    <w:rsid w:val="499473A8"/>
    <w:rsid w:val="499C522C"/>
    <w:rsid w:val="49B8162D"/>
    <w:rsid w:val="49BA6B5C"/>
    <w:rsid w:val="49E11748"/>
    <w:rsid w:val="49F6477F"/>
    <w:rsid w:val="4A1943E5"/>
    <w:rsid w:val="4A2924E0"/>
    <w:rsid w:val="4A307881"/>
    <w:rsid w:val="4A330DC8"/>
    <w:rsid w:val="4A3F5E26"/>
    <w:rsid w:val="4A4A284A"/>
    <w:rsid w:val="4A4D03BF"/>
    <w:rsid w:val="4A527B53"/>
    <w:rsid w:val="4A5351C9"/>
    <w:rsid w:val="4A5751EC"/>
    <w:rsid w:val="4A5C56F0"/>
    <w:rsid w:val="4A5D09B4"/>
    <w:rsid w:val="4A657B20"/>
    <w:rsid w:val="4A675399"/>
    <w:rsid w:val="4A6942BC"/>
    <w:rsid w:val="4A6A1FBF"/>
    <w:rsid w:val="4A6D6208"/>
    <w:rsid w:val="4A8066F9"/>
    <w:rsid w:val="4A904764"/>
    <w:rsid w:val="4AA6178B"/>
    <w:rsid w:val="4AA871C9"/>
    <w:rsid w:val="4AB455BC"/>
    <w:rsid w:val="4ABC67C1"/>
    <w:rsid w:val="4AC32382"/>
    <w:rsid w:val="4AC608C6"/>
    <w:rsid w:val="4AC84139"/>
    <w:rsid w:val="4AE2590E"/>
    <w:rsid w:val="4AE453C6"/>
    <w:rsid w:val="4AE868E9"/>
    <w:rsid w:val="4AF15439"/>
    <w:rsid w:val="4AFD2395"/>
    <w:rsid w:val="4B090A0E"/>
    <w:rsid w:val="4B283612"/>
    <w:rsid w:val="4B2A27EE"/>
    <w:rsid w:val="4B3120C9"/>
    <w:rsid w:val="4B4D7D11"/>
    <w:rsid w:val="4B5871DC"/>
    <w:rsid w:val="4B7C585E"/>
    <w:rsid w:val="4B841C65"/>
    <w:rsid w:val="4B8B3823"/>
    <w:rsid w:val="4B986D46"/>
    <w:rsid w:val="4B9A3067"/>
    <w:rsid w:val="4BA020AD"/>
    <w:rsid w:val="4BA20051"/>
    <w:rsid w:val="4BB71E8B"/>
    <w:rsid w:val="4BBF2AF2"/>
    <w:rsid w:val="4BC36A13"/>
    <w:rsid w:val="4BC370CE"/>
    <w:rsid w:val="4BC917FB"/>
    <w:rsid w:val="4BCE471A"/>
    <w:rsid w:val="4BDA4F74"/>
    <w:rsid w:val="4BDA641E"/>
    <w:rsid w:val="4BE93A19"/>
    <w:rsid w:val="4BED2D73"/>
    <w:rsid w:val="4BF45F13"/>
    <w:rsid w:val="4C12586E"/>
    <w:rsid w:val="4C18085F"/>
    <w:rsid w:val="4C1A4C0F"/>
    <w:rsid w:val="4C1B0BC7"/>
    <w:rsid w:val="4C250A89"/>
    <w:rsid w:val="4C273376"/>
    <w:rsid w:val="4C274743"/>
    <w:rsid w:val="4C3B24B4"/>
    <w:rsid w:val="4C443F74"/>
    <w:rsid w:val="4C4973E2"/>
    <w:rsid w:val="4C4C1C15"/>
    <w:rsid w:val="4C7F611C"/>
    <w:rsid w:val="4C864A9F"/>
    <w:rsid w:val="4C8C6790"/>
    <w:rsid w:val="4C9518C9"/>
    <w:rsid w:val="4C9F6F25"/>
    <w:rsid w:val="4CA26E48"/>
    <w:rsid w:val="4CB65441"/>
    <w:rsid w:val="4CC36B68"/>
    <w:rsid w:val="4CCE4E37"/>
    <w:rsid w:val="4CDF6BF5"/>
    <w:rsid w:val="4CE9258D"/>
    <w:rsid w:val="4D2F5478"/>
    <w:rsid w:val="4D3259CC"/>
    <w:rsid w:val="4D343B14"/>
    <w:rsid w:val="4D44414D"/>
    <w:rsid w:val="4D590BF1"/>
    <w:rsid w:val="4D6D4170"/>
    <w:rsid w:val="4D8661DE"/>
    <w:rsid w:val="4D8E62C8"/>
    <w:rsid w:val="4DA37D55"/>
    <w:rsid w:val="4DAD2499"/>
    <w:rsid w:val="4DB60D60"/>
    <w:rsid w:val="4DC437E9"/>
    <w:rsid w:val="4DCE1CEB"/>
    <w:rsid w:val="4DD51DC3"/>
    <w:rsid w:val="4DE90C94"/>
    <w:rsid w:val="4DF61D74"/>
    <w:rsid w:val="4DF77752"/>
    <w:rsid w:val="4E1A6C5C"/>
    <w:rsid w:val="4E1E08F5"/>
    <w:rsid w:val="4E1E2B95"/>
    <w:rsid w:val="4E1F7FDE"/>
    <w:rsid w:val="4E205B8A"/>
    <w:rsid w:val="4E277DA5"/>
    <w:rsid w:val="4E5E31C0"/>
    <w:rsid w:val="4E600F01"/>
    <w:rsid w:val="4E8F5398"/>
    <w:rsid w:val="4E936C58"/>
    <w:rsid w:val="4E9D72A1"/>
    <w:rsid w:val="4EA1321E"/>
    <w:rsid w:val="4EAA3ED9"/>
    <w:rsid w:val="4EC37894"/>
    <w:rsid w:val="4EDE09C9"/>
    <w:rsid w:val="4EF23735"/>
    <w:rsid w:val="4EFC2863"/>
    <w:rsid w:val="4EFC5358"/>
    <w:rsid w:val="4F043F9D"/>
    <w:rsid w:val="4F112C9D"/>
    <w:rsid w:val="4F1E7784"/>
    <w:rsid w:val="4F2F273A"/>
    <w:rsid w:val="4F2F6737"/>
    <w:rsid w:val="4F350D31"/>
    <w:rsid w:val="4F3553DE"/>
    <w:rsid w:val="4F531371"/>
    <w:rsid w:val="4F627304"/>
    <w:rsid w:val="4F6B27D2"/>
    <w:rsid w:val="4F7E16E9"/>
    <w:rsid w:val="4F7E356D"/>
    <w:rsid w:val="4F8759E9"/>
    <w:rsid w:val="4F8D3812"/>
    <w:rsid w:val="4FAA7405"/>
    <w:rsid w:val="4FB00FBF"/>
    <w:rsid w:val="4FDA232B"/>
    <w:rsid w:val="4FF176CE"/>
    <w:rsid w:val="4FF96285"/>
    <w:rsid w:val="50151DD1"/>
    <w:rsid w:val="50184B66"/>
    <w:rsid w:val="50191953"/>
    <w:rsid w:val="50212E30"/>
    <w:rsid w:val="5023004A"/>
    <w:rsid w:val="503A2643"/>
    <w:rsid w:val="506035AC"/>
    <w:rsid w:val="5065194F"/>
    <w:rsid w:val="507E315A"/>
    <w:rsid w:val="509E3992"/>
    <w:rsid w:val="50A56CB1"/>
    <w:rsid w:val="50B57CAC"/>
    <w:rsid w:val="50BF7EBC"/>
    <w:rsid w:val="50D01A77"/>
    <w:rsid w:val="50E31078"/>
    <w:rsid w:val="50E62A82"/>
    <w:rsid w:val="50E90140"/>
    <w:rsid w:val="50EA2973"/>
    <w:rsid w:val="50ED67FA"/>
    <w:rsid w:val="50FE7BE6"/>
    <w:rsid w:val="5100044E"/>
    <w:rsid w:val="5106443C"/>
    <w:rsid w:val="51147E72"/>
    <w:rsid w:val="512E31CF"/>
    <w:rsid w:val="51384E1F"/>
    <w:rsid w:val="514E7891"/>
    <w:rsid w:val="51567974"/>
    <w:rsid w:val="51606846"/>
    <w:rsid w:val="51612563"/>
    <w:rsid w:val="5162266C"/>
    <w:rsid w:val="5184268A"/>
    <w:rsid w:val="519978FD"/>
    <w:rsid w:val="51AB5D3E"/>
    <w:rsid w:val="51B4495C"/>
    <w:rsid w:val="51BB2195"/>
    <w:rsid w:val="51CA2B29"/>
    <w:rsid w:val="51EF2B14"/>
    <w:rsid w:val="51F721AF"/>
    <w:rsid w:val="51FC1F52"/>
    <w:rsid w:val="5202767B"/>
    <w:rsid w:val="52065E75"/>
    <w:rsid w:val="520C55F1"/>
    <w:rsid w:val="52191A6D"/>
    <w:rsid w:val="521D6352"/>
    <w:rsid w:val="522C3870"/>
    <w:rsid w:val="52354660"/>
    <w:rsid w:val="526D6FF2"/>
    <w:rsid w:val="527A7F76"/>
    <w:rsid w:val="529311C0"/>
    <w:rsid w:val="52965686"/>
    <w:rsid w:val="52A1058E"/>
    <w:rsid w:val="52A61AB9"/>
    <w:rsid w:val="52A8778D"/>
    <w:rsid w:val="52B0553B"/>
    <w:rsid w:val="52B504A4"/>
    <w:rsid w:val="52C76DE3"/>
    <w:rsid w:val="52DF3218"/>
    <w:rsid w:val="52E159FE"/>
    <w:rsid w:val="52E240EE"/>
    <w:rsid w:val="52EB0409"/>
    <w:rsid w:val="52EC251F"/>
    <w:rsid w:val="52F74F47"/>
    <w:rsid w:val="52FE4D9E"/>
    <w:rsid w:val="5306095A"/>
    <w:rsid w:val="531E2D4A"/>
    <w:rsid w:val="531E545A"/>
    <w:rsid w:val="532B34E0"/>
    <w:rsid w:val="53341A97"/>
    <w:rsid w:val="533B21BD"/>
    <w:rsid w:val="5347380D"/>
    <w:rsid w:val="534D7664"/>
    <w:rsid w:val="535418DF"/>
    <w:rsid w:val="5356084C"/>
    <w:rsid w:val="535C06F3"/>
    <w:rsid w:val="536E30B7"/>
    <w:rsid w:val="5376622A"/>
    <w:rsid w:val="53784B50"/>
    <w:rsid w:val="53791C55"/>
    <w:rsid w:val="538232D9"/>
    <w:rsid w:val="539239C2"/>
    <w:rsid w:val="53B63500"/>
    <w:rsid w:val="53C202A6"/>
    <w:rsid w:val="53C802B7"/>
    <w:rsid w:val="53CB28CF"/>
    <w:rsid w:val="53E70908"/>
    <w:rsid w:val="53E81789"/>
    <w:rsid w:val="53ED42F5"/>
    <w:rsid w:val="53EF4C06"/>
    <w:rsid w:val="53F11456"/>
    <w:rsid w:val="53F22689"/>
    <w:rsid w:val="53F32429"/>
    <w:rsid w:val="53F42783"/>
    <w:rsid w:val="54093B31"/>
    <w:rsid w:val="540957A8"/>
    <w:rsid w:val="54166D19"/>
    <w:rsid w:val="542A0E25"/>
    <w:rsid w:val="543062AE"/>
    <w:rsid w:val="54381675"/>
    <w:rsid w:val="543E321F"/>
    <w:rsid w:val="54482775"/>
    <w:rsid w:val="544A7337"/>
    <w:rsid w:val="544E5C06"/>
    <w:rsid w:val="54556CE6"/>
    <w:rsid w:val="54710DEB"/>
    <w:rsid w:val="54822CA5"/>
    <w:rsid w:val="54860BA8"/>
    <w:rsid w:val="54914FBE"/>
    <w:rsid w:val="54986302"/>
    <w:rsid w:val="549C720E"/>
    <w:rsid w:val="54B11F0A"/>
    <w:rsid w:val="54C24182"/>
    <w:rsid w:val="54C46587"/>
    <w:rsid w:val="54D21B6F"/>
    <w:rsid w:val="54FB1F48"/>
    <w:rsid w:val="550253F0"/>
    <w:rsid w:val="55041D15"/>
    <w:rsid w:val="55101D01"/>
    <w:rsid w:val="55162952"/>
    <w:rsid w:val="552A2A98"/>
    <w:rsid w:val="55355F34"/>
    <w:rsid w:val="554326F2"/>
    <w:rsid w:val="554C4666"/>
    <w:rsid w:val="55501F33"/>
    <w:rsid w:val="55590BE1"/>
    <w:rsid w:val="555A6040"/>
    <w:rsid w:val="555B6A5F"/>
    <w:rsid w:val="556320CF"/>
    <w:rsid w:val="5564764A"/>
    <w:rsid w:val="55754CE3"/>
    <w:rsid w:val="558463DB"/>
    <w:rsid w:val="558A1F89"/>
    <w:rsid w:val="558B7026"/>
    <w:rsid w:val="559829CF"/>
    <w:rsid w:val="55A75279"/>
    <w:rsid w:val="55A85F4D"/>
    <w:rsid w:val="55BF39EC"/>
    <w:rsid w:val="55D12DE6"/>
    <w:rsid w:val="55D55DD2"/>
    <w:rsid w:val="55DD6EED"/>
    <w:rsid w:val="560F7139"/>
    <w:rsid w:val="561846C8"/>
    <w:rsid w:val="561B484E"/>
    <w:rsid w:val="561C4F6E"/>
    <w:rsid w:val="561E26F7"/>
    <w:rsid w:val="561E7617"/>
    <w:rsid w:val="56386278"/>
    <w:rsid w:val="5649724F"/>
    <w:rsid w:val="566155ED"/>
    <w:rsid w:val="56641906"/>
    <w:rsid w:val="5671534B"/>
    <w:rsid w:val="567718A0"/>
    <w:rsid w:val="56783CB5"/>
    <w:rsid w:val="56786ADC"/>
    <w:rsid w:val="567B5B6F"/>
    <w:rsid w:val="567C0A12"/>
    <w:rsid w:val="568C6AF7"/>
    <w:rsid w:val="56950CC9"/>
    <w:rsid w:val="569752EE"/>
    <w:rsid w:val="56981B79"/>
    <w:rsid w:val="56985572"/>
    <w:rsid w:val="569C0A64"/>
    <w:rsid w:val="56A64459"/>
    <w:rsid w:val="56AA1D58"/>
    <w:rsid w:val="56AE44EC"/>
    <w:rsid w:val="56B9567D"/>
    <w:rsid w:val="56B96388"/>
    <w:rsid w:val="56BD154C"/>
    <w:rsid w:val="56C00C9E"/>
    <w:rsid w:val="56D82B42"/>
    <w:rsid w:val="56EB0682"/>
    <w:rsid w:val="56FC49AA"/>
    <w:rsid w:val="57080FCA"/>
    <w:rsid w:val="5716702B"/>
    <w:rsid w:val="571C2E49"/>
    <w:rsid w:val="572134E0"/>
    <w:rsid w:val="57262E0F"/>
    <w:rsid w:val="573272DE"/>
    <w:rsid w:val="574E23E9"/>
    <w:rsid w:val="57626C0E"/>
    <w:rsid w:val="576C5B39"/>
    <w:rsid w:val="577D5A0D"/>
    <w:rsid w:val="578052C0"/>
    <w:rsid w:val="578135A0"/>
    <w:rsid w:val="578327D2"/>
    <w:rsid w:val="57A93C8F"/>
    <w:rsid w:val="57AD78E7"/>
    <w:rsid w:val="57AF4E99"/>
    <w:rsid w:val="57C40279"/>
    <w:rsid w:val="57DE1D00"/>
    <w:rsid w:val="57F00F58"/>
    <w:rsid w:val="57FC4032"/>
    <w:rsid w:val="58030293"/>
    <w:rsid w:val="580E24FD"/>
    <w:rsid w:val="58156E12"/>
    <w:rsid w:val="58215915"/>
    <w:rsid w:val="58293B3B"/>
    <w:rsid w:val="582949D4"/>
    <w:rsid w:val="58495E88"/>
    <w:rsid w:val="58580AAD"/>
    <w:rsid w:val="58583815"/>
    <w:rsid w:val="585E5A08"/>
    <w:rsid w:val="58653812"/>
    <w:rsid w:val="586B53D2"/>
    <w:rsid w:val="586D28E7"/>
    <w:rsid w:val="587F2605"/>
    <w:rsid w:val="587F2BFD"/>
    <w:rsid w:val="589046E4"/>
    <w:rsid w:val="58942812"/>
    <w:rsid w:val="58967446"/>
    <w:rsid w:val="589D4225"/>
    <w:rsid w:val="58A4562F"/>
    <w:rsid w:val="58AD69FA"/>
    <w:rsid w:val="58C01BAB"/>
    <w:rsid w:val="58C42F53"/>
    <w:rsid w:val="58C54A19"/>
    <w:rsid w:val="58D7625F"/>
    <w:rsid w:val="58DC25F7"/>
    <w:rsid w:val="58E05EEB"/>
    <w:rsid w:val="58F7373E"/>
    <w:rsid w:val="59012EF2"/>
    <w:rsid w:val="59026067"/>
    <w:rsid w:val="590639C2"/>
    <w:rsid w:val="59080C78"/>
    <w:rsid w:val="592F3F03"/>
    <w:rsid w:val="59370518"/>
    <w:rsid w:val="5940087C"/>
    <w:rsid w:val="59416E36"/>
    <w:rsid w:val="595C3D89"/>
    <w:rsid w:val="595F1B56"/>
    <w:rsid w:val="596B4AA2"/>
    <w:rsid w:val="596D3AEA"/>
    <w:rsid w:val="59756DED"/>
    <w:rsid w:val="598C691E"/>
    <w:rsid w:val="59911DA1"/>
    <w:rsid w:val="5993571F"/>
    <w:rsid w:val="59943741"/>
    <w:rsid w:val="599975CF"/>
    <w:rsid w:val="599F4E79"/>
    <w:rsid w:val="59A9403A"/>
    <w:rsid w:val="59AE634F"/>
    <w:rsid w:val="59B12B33"/>
    <w:rsid w:val="59B407BA"/>
    <w:rsid w:val="59C10286"/>
    <w:rsid w:val="59EC7E3D"/>
    <w:rsid w:val="59EE127E"/>
    <w:rsid w:val="59F419B0"/>
    <w:rsid w:val="59FE3D3E"/>
    <w:rsid w:val="5A012DCA"/>
    <w:rsid w:val="5A0E697B"/>
    <w:rsid w:val="5A1B118F"/>
    <w:rsid w:val="5A357C84"/>
    <w:rsid w:val="5A4A4543"/>
    <w:rsid w:val="5A527CD5"/>
    <w:rsid w:val="5A6C302C"/>
    <w:rsid w:val="5A9D05F8"/>
    <w:rsid w:val="5A9D75BB"/>
    <w:rsid w:val="5A9D7E40"/>
    <w:rsid w:val="5AA9479B"/>
    <w:rsid w:val="5AC05FD5"/>
    <w:rsid w:val="5AC80260"/>
    <w:rsid w:val="5AD315B0"/>
    <w:rsid w:val="5ADF2135"/>
    <w:rsid w:val="5AE82111"/>
    <w:rsid w:val="5AEA3A99"/>
    <w:rsid w:val="5B1E3A69"/>
    <w:rsid w:val="5B1E498B"/>
    <w:rsid w:val="5B357209"/>
    <w:rsid w:val="5B366F2A"/>
    <w:rsid w:val="5B44718E"/>
    <w:rsid w:val="5B49711D"/>
    <w:rsid w:val="5B687269"/>
    <w:rsid w:val="5B762821"/>
    <w:rsid w:val="5B816557"/>
    <w:rsid w:val="5BB8012A"/>
    <w:rsid w:val="5BC854E4"/>
    <w:rsid w:val="5BDF2608"/>
    <w:rsid w:val="5BDF4D42"/>
    <w:rsid w:val="5BDF5517"/>
    <w:rsid w:val="5C2349AF"/>
    <w:rsid w:val="5C2C2726"/>
    <w:rsid w:val="5C4D51CA"/>
    <w:rsid w:val="5C500689"/>
    <w:rsid w:val="5C57554A"/>
    <w:rsid w:val="5C5F33CB"/>
    <w:rsid w:val="5C6F25A1"/>
    <w:rsid w:val="5C7444B3"/>
    <w:rsid w:val="5C865465"/>
    <w:rsid w:val="5C89105E"/>
    <w:rsid w:val="5C936C6F"/>
    <w:rsid w:val="5CA16ABA"/>
    <w:rsid w:val="5CB84DE6"/>
    <w:rsid w:val="5CCD23B0"/>
    <w:rsid w:val="5CD86234"/>
    <w:rsid w:val="5CD94F80"/>
    <w:rsid w:val="5CD97D51"/>
    <w:rsid w:val="5CE11789"/>
    <w:rsid w:val="5CED0228"/>
    <w:rsid w:val="5D017424"/>
    <w:rsid w:val="5D022E69"/>
    <w:rsid w:val="5D0402B6"/>
    <w:rsid w:val="5D1C3510"/>
    <w:rsid w:val="5D261BE2"/>
    <w:rsid w:val="5D46637F"/>
    <w:rsid w:val="5D5203FE"/>
    <w:rsid w:val="5D5D6FBE"/>
    <w:rsid w:val="5D69467A"/>
    <w:rsid w:val="5D6F499B"/>
    <w:rsid w:val="5D763C04"/>
    <w:rsid w:val="5D893BAE"/>
    <w:rsid w:val="5D8971FB"/>
    <w:rsid w:val="5D901008"/>
    <w:rsid w:val="5DB70023"/>
    <w:rsid w:val="5DC16786"/>
    <w:rsid w:val="5DC7342C"/>
    <w:rsid w:val="5DC874FE"/>
    <w:rsid w:val="5DCD1515"/>
    <w:rsid w:val="5DE356D8"/>
    <w:rsid w:val="5DEB6A9C"/>
    <w:rsid w:val="5E0931F8"/>
    <w:rsid w:val="5E0F40C2"/>
    <w:rsid w:val="5E115EE5"/>
    <w:rsid w:val="5E2F6207"/>
    <w:rsid w:val="5E380503"/>
    <w:rsid w:val="5E492A9A"/>
    <w:rsid w:val="5E4D4DF3"/>
    <w:rsid w:val="5E503A28"/>
    <w:rsid w:val="5E532442"/>
    <w:rsid w:val="5E6B62B7"/>
    <w:rsid w:val="5E926058"/>
    <w:rsid w:val="5E954381"/>
    <w:rsid w:val="5E9B7945"/>
    <w:rsid w:val="5EA76217"/>
    <w:rsid w:val="5ED73174"/>
    <w:rsid w:val="5EDF1D23"/>
    <w:rsid w:val="5EEE1795"/>
    <w:rsid w:val="5EF7046C"/>
    <w:rsid w:val="5EFB0E36"/>
    <w:rsid w:val="5F0026C0"/>
    <w:rsid w:val="5F264BE2"/>
    <w:rsid w:val="5F31787A"/>
    <w:rsid w:val="5F330A81"/>
    <w:rsid w:val="5F36789A"/>
    <w:rsid w:val="5F40446F"/>
    <w:rsid w:val="5F482499"/>
    <w:rsid w:val="5F5F78EE"/>
    <w:rsid w:val="5F7178CD"/>
    <w:rsid w:val="5F7A4635"/>
    <w:rsid w:val="5F885F95"/>
    <w:rsid w:val="5F8B195B"/>
    <w:rsid w:val="5F8C78AE"/>
    <w:rsid w:val="5F961332"/>
    <w:rsid w:val="5FA17F0D"/>
    <w:rsid w:val="5FA651F7"/>
    <w:rsid w:val="5FB47828"/>
    <w:rsid w:val="5FC0277F"/>
    <w:rsid w:val="5FD13CF4"/>
    <w:rsid w:val="5FE30451"/>
    <w:rsid w:val="601814D9"/>
    <w:rsid w:val="602842D3"/>
    <w:rsid w:val="602C1F06"/>
    <w:rsid w:val="603A3E88"/>
    <w:rsid w:val="604E6049"/>
    <w:rsid w:val="60502E63"/>
    <w:rsid w:val="60566219"/>
    <w:rsid w:val="606843F9"/>
    <w:rsid w:val="606B58C7"/>
    <w:rsid w:val="606E3518"/>
    <w:rsid w:val="60701E31"/>
    <w:rsid w:val="607628C6"/>
    <w:rsid w:val="609B3C2C"/>
    <w:rsid w:val="60A352BE"/>
    <w:rsid w:val="60B118B3"/>
    <w:rsid w:val="60B70E26"/>
    <w:rsid w:val="60B71303"/>
    <w:rsid w:val="60C55551"/>
    <w:rsid w:val="60C838BE"/>
    <w:rsid w:val="60E70C77"/>
    <w:rsid w:val="60EB7A2A"/>
    <w:rsid w:val="6100172B"/>
    <w:rsid w:val="61150218"/>
    <w:rsid w:val="61221F65"/>
    <w:rsid w:val="612E5EDA"/>
    <w:rsid w:val="613E75AE"/>
    <w:rsid w:val="614269DA"/>
    <w:rsid w:val="614608C4"/>
    <w:rsid w:val="6146696B"/>
    <w:rsid w:val="614A19C3"/>
    <w:rsid w:val="61576316"/>
    <w:rsid w:val="615D1D35"/>
    <w:rsid w:val="617C64FA"/>
    <w:rsid w:val="618509DD"/>
    <w:rsid w:val="61886007"/>
    <w:rsid w:val="61891C3A"/>
    <w:rsid w:val="618C07B1"/>
    <w:rsid w:val="618C3362"/>
    <w:rsid w:val="618F3714"/>
    <w:rsid w:val="61A945D9"/>
    <w:rsid w:val="61B01925"/>
    <w:rsid w:val="61B44534"/>
    <w:rsid w:val="61CA5896"/>
    <w:rsid w:val="61D71782"/>
    <w:rsid w:val="61ED2C36"/>
    <w:rsid w:val="61F356F1"/>
    <w:rsid w:val="62015430"/>
    <w:rsid w:val="622D58D7"/>
    <w:rsid w:val="62352DD8"/>
    <w:rsid w:val="62617E5F"/>
    <w:rsid w:val="62784ED0"/>
    <w:rsid w:val="627D3E3E"/>
    <w:rsid w:val="628A33BE"/>
    <w:rsid w:val="62AD2DF9"/>
    <w:rsid w:val="62AF4765"/>
    <w:rsid w:val="62BD0A4B"/>
    <w:rsid w:val="62C4468F"/>
    <w:rsid w:val="62D748BF"/>
    <w:rsid w:val="62E044FC"/>
    <w:rsid w:val="62E4758E"/>
    <w:rsid w:val="62FA150F"/>
    <w:rsid w:val="62FA6936"/>
    <w:rsid w:val="63062BA9"/>
    <w:rsid w:val="63097573"/>
    <w:rsid w:val="633028DD"/>
    <w:rsid w:val="633F182B"/>
    <w:rsid w:val="6356334E"/>
    <w:rsid w:val="63564BDD"/>
    <w:rsid w:val="639141D9"/>
    <w:rsid w:val="639A4918"/>
    <w:rsid w:val="63AB36AB"/>
    <w:rsid w:val="63B5003F"/>
    <w:rsid w:val="63D02911"/>
    <w:rsid w:val="63E6296D"/>
    <w:rsid w:val="63E77D99"/>
    <w:rsid w:val="63EC2C37"/>
    <w:rsid w:val="63ED1D8D"/>
    <w:rsid w:val="63F0110D"/>
    <w:rsid w:val="63FA6533"/>
    <w:rsid w:val="640758BF"/>
    <w:rsid w:val="64110041"/>
    <w:rsid w:val="643314C3"/>
    <w:rsid w:val="643C62B1"/>
    <w:rsid w:val="643F066B"/>
    <w:rsid w:val="64400A41"/>
    <w:rsid w:val="64533622"/>
    <w:rsid w:val="6464379E"/>
    <w:rsid w:val="64690B49"/>
    <w:rsid w:val="64926AAA"/>
    <w:rsid w:val="64AE7EE5"/>
    <w:rsid w:val="64D8202F"/>
    <w:rsid w:val="64E106ED"/>
    <w:rsid w:val="64E738E4"/>
    <w:rsid w:val="64E809BD"/>
    <w:rsid w:val="64E9508B"/>
    <w:rsid w:val="64F15AEE"/>
    <w:rsid w:val="65067835"/>
    <w:rsid w:val="651127D6"/>
    <w:rsid w:val="652231C8"/>
    <w:rsid w:val="65312E45"/>
    <w:rsid w:val="65341F7A"/>
    <w:rsid w:val="6535304D"/>
    <w:rsid w:val="65363D92"/>
    <w:rsid w:val="65420B1A"/>
    <w:rsid w:val="6560378A"/>
    <w:rsid w:val="6563787C"/>
    <w:rsid w:val="656871CE"/>
    <w:rsid w:val="658029A4"/>
    <w:rsid w:val="659F195C"/>
    <w:rsid w:val="65A56307"/>
    <w:rsid w:val="65AA5038"/>
    <w:rsid w:val="65B94DB1"/>
    <w:rsid w:val="65BD3C55"/>
    <w:rsid w:val="65D847D7"/>
    <w:rsid w:val="65DC7AFF"/>
    <w:rsid w:val="65F067C8"/>
    <w:rsid w:val="66017EEA"/>
    <w:rsid w:val="660D01BB"/>
    <w:rsid w:val="660E0639"/>
    <w:rsid w:val="662046C0"/>
    <w:rsid w:val="66405B53"/>
    <w:rsid w:val="66451133"/>
    <w:rsid w:val="66470E44"/>
    <w:rsid w:val="665F2EE7"/>
    <w:rsid w:val="66603208"/>
    <w:rsid w:val="66622181"/>
    <w:rsid w:val="66683083"/>
    <w:rsid w:val="666B7D71"/>
    <w:rsid w:val="66736514"/>
    <w:rsid w:val="66747D26"/>
    <w:rsid w:val="66783E44"/>
    <w:rsid w:val="66951F56"/>
    <w:rsid w:val="66980B67"/>
    <w:rsid w:val="66D31187"/>
    <w:rsid w:val="66DF71A4"/>
    <w:rsid w:val="66FF6AD2"/>
    <w:rsid w:val="67015768"/>
    <w:rsid w:val="67053D91"/>
    <w:rsid w:val="67071795"/>
    <w:rsid w:val="670A1C82"/>
    <w:rsid w:val="671A606D"/>
    <w:rsid w:val="672A0B2A"/>
    <w:rsid w:val="673B7406"/>
    <w:rsid w:val="674425FA"/>
    <w:rsid w:val="6746320F"/>
    <w:rsid w:val="674868EE"/>
    <w:rsid w:val="675C7E69"/>
    <w:rsid w:val="6769037D"/>
    <w:rsid w:val="67731AD6"/>
    <w:rsid w:val="67780E31"/>
    <w:rsid w:val="67835509"/>
    <w:rsid w:val="678B225E"/>
    <w:rsid w:val="67D67E33"/>
    <w:rsid w:val="67D82CEE"/>
    <w:rsid w:val="67DA05DF"/>
    <w:rsid w:val="67DA1465"/>
    <w:rsid w:val="67DF4906"/>
    <w:rsid w:val="67F34866"/>
    <w:rsid w:val="67F84668"/>
    <w:rsid w:val="680047E9"/>
    <w:rsid w:val="680177F7"/>
    <w:rsid w:val="68232361"/>
    <w:rsid w:val="682A4576"/>
    <w:rsid w:val="68322FE5"/>
    <w:rsid w:val="68330BEE"/>
    <w:rsid w:val="68336995"/>
    <w:rsid w:val="68341F16"/>
    <w:rsid w:val="68433715"/>
    <w:rsid w:val="68492E84"/>
    <w:rsid w:val="687249C5"/>
    <w:rsid w:val="687348EF"/>
    <w:rsid w:val="68802DF9"/>
    <w:rsid w:val="68814EF1"/>
    <w:rsid w:val="68862EFB"/>
    <w:rsid w:val="688C7159"/>
    <w:rsid w:val="688F627A"/>
    <w:rsid w:val="689B5B55"/>
    <w:rsid w:val="68B13C09"/>
    <w:rsid w:val="68B41E90"/>
    <w:rsid w:val="68B80D8E"/>
    <w:rsid w:val="68C57809"/>
    <w:rsid w:val="68D95DF7"/>
    <w:rsid w:val="68D97C90"/>
    <w:rsid w:val="68E4237A"/>
    <w:rsid w:val="68FB7D71"/>
    <w:rsid w:val="68FF1802"/>
    <w:rsid w:val="69155298"/>
    <w:rsid w:val="692D249D"/>
    <w:rsid w:val="692D7EA9"/>
    <w:rsid w:val="692E7D33"/>
    <w:rsid w:val="693359D0"/>
    <w:rsid w:val="69342C12"/>
    <w:rsid w:val="69357436"/>
    <w:rsid w:val="693D6D83"/>
    <w:rsid w:val="696B6754"/>
    <w:rsid w:val="697900F6"/>
    <w:rsid w:val="697B7A43"/>
    <w:rsid w:val="69CD1EBE"/>
    <w:rsid w:val="69CF6E13"/>
    <w:rsid w:val="69D0773D"/>
    <w:rsid w:val="69EE6CD8"/>
    <w:rsid w:val="69EF6D77"/>
    <w:rsid w:val="69F25E11"/>
    <w:rsid w:val="69F25F6D"/>
    <w:rsid w:val="69FB5445"/>
    <w:rsid w:val="6A134B7D"/>
    <w:rsid w:val="6A1810EC"/>
    <w:rsid w:val="6A2019E0"/>
    <w:rsid w:val="6A3A7A7B"/>
    <w:rsid w:val="6A4419DE"/>
    <w:rsid w:val="6A471342"/>
    <w:rsid w:val="6A4A11E5"/>
    <w:rsid w:val="6A552BFA"/>
    <w:rsid w:val="6A57401C"/>
    <w:rsid w:val="6A5D2262"/>
    <w:rsid w:val="6A69013A"/>
    <w:rsid w:val="6A6E4907"/>
    <w:rsid w:val="6A7478E0"/>
    <w:rsid w:val="6A7B192A"/>
    <w:rsid w:val="6A8F2231"/>
    <w:rsid w:val="6A920D41"/>
    <w:rsid w:val="6AA46A88"/>
    <w:rsid w:val="6AA66A1F"/>
    <w:rsid w:val="6AAA3CBE"/>
    <w:rsid w:val="6AB57E6F"/>
    <w:rsid w:val="6AC44D5C"/>
    <w:rsid w:val="6AC90CEF"/>
    <w:rsid w:val="6AE35CD3"/>
    <w:rsid w:val="6AEC2D82"/>
    <w:rsid w:val="6AFC5529"/>
    <w:rsid w:val="6AFD3666"/>
    <w:rsid w:val="6B026A24"/>
    <w:rsid w:val="6B094F1F"/>
    <w:rsid w:val="6B0E3DA4"/>
    <w:rsid w:val="6B157980"/>
    <w:rsid w:val="6B1F1924"/>
    <w:rsid w:val="6B206A94"/>
    <w:rsid w:val="6B244DDA"/>
    <w:rsid w:val="6B485B4C"/>
    <w:rsid w:val="6B5007D6"/>
    <w:rsid w:val="6B615364"/>
    <w:rsid w:val="6B654529"/>
    <w:rsid w:val="6B681774"/>
    <w:rsid w:val="6B697F10"/>
    <w:rsid w:val="6B6F5DF1"/>
    <w:rsid w:val="6B7427DF"/>
    <w:rsid w:val="6B7802B0"/>
    <w:rsid w:val="6B7965FD"/>
    <w:rsid w:val="6B7D267D"/>
    <w:rsid w:val="6B7F578E"/>
    <w:rsid w:val="6B80414A"/>
    <w:rsid w:val="6B884565"/>
    <w:rsid w:val="6B8C2B2B"/>
    <w:rsid w:val="6BA54240"/>
    <w:rsid w:val="6BC744DF"/>
    <w:rsid w:val="6BC76F08"/>
    <w:rsid w:val="6BD3071E"/>
    <w:rsid w:val="6BF449ED"/>
    <w:rsid w:val="6BFC23FF"/>
    <w:rsid w:val="6C1624C4"/>
    <w:rsid w:val="6C203A6B"/>
    <w:rsid w:val="6C277943"/>
    <w:rsid w:val="6C42462C"/>
    <w:rsid w:val="6C4639C5"/>
    <w:rsid w:val="6C484E55"/>
    <w:rsid w:val="6C4A1428"/>
    <w:rsid w:val="6C5309B2"/>
    <w:rsid w:val="6C543246"/>
    <w:rsid w:val="6C545F15"/>
    <w:rsid w:val="6C5B4F8B"/>
    <w:rsid w:val="6C6474DC"/>
    <w:rsid w:val="6C715362"/>
    <w:rsid w:val="6C770CDB"/>
    <w:rsid w:val="6C7E1B24"/>
    <w:rsid w:val="6C9E2D11"/>
    <w:rsid w:val="6CAD6DC5"/>
    <w:rsid w:val="6CB013AA"/>
    <w:rsid w:val="6CC63443"/>
    <w:rsid w:val="6CCB0E9B"/>
    <w:rsid w:val="6CD52BF8"/>
    <w:rsid w:val="6CEA71C9"/>
    <w:rsid w:val="6CEF6A3A"/>
    <w:rsid w:val="6D1B3765"/>
    <w:rsid w:val="6D21415F"/>
    <w:rsid w:val="6D25146C"/>
    <w:rsid w:val="6D2B6338"/>
    <w:rsid w:val="6D2E52A2"/>
    <w:rsid w:val="6D2F5E28"/>
    <w:rsid w:val="6D353140"/>
    <w:rsid w:val="6D3C0859"/>
    <w:rsid w:val="6D4C7DB7"/>
    <w:rsid w:val="6D617FAC"/>
    <w:rsid w:val="6D6E7D15"/>
    <w:rsid w:val="6D903997"/>
    <w:rsid w:val="6D9E4C02"/>
    <w:rsid w:val="6DA91E5A"/>
    <w:rsid w:val="6DB7205B"/>
    <w:rsid w:val="6DBE45A6"/>
    <w:rsid w:val="6DE04005"/>
    <w:rsid w:val="6DE065F2"/>
    <w:rsid w:val="6DE41192"/>
    <w:rsid w:val="6DF01671"/>
    <w:rsid w:val="6E0207FF"/>
    <w:rsid w:val="6E1157D5"/>
    <w:rsid w:val="6E137C74"/>
    <w:rsid w:val="6E162F50"/>
    <w:rsid w:val="6E452B05"/>
    <w:rsid w:val="6E6911C4"/>
    <w:rsid w:val="6E897332"/>
    <w:rsid w:val="6EC425A0"/>
    <w:rsid w:val="6ECC09C3"/>
    <w:rsid w:val="6ED0214A"/>
    <w:rsid w:val="6ED052A2"/>
    <w:rsid w:val="6ED924EF"/>
    <w:rsid w:val="6EDB3FC7"/>
    <w:rsid w:val="6EE276A6"/>
    <w:rsid w:val="6F047F4E"/>
    <w:rsid w:val="6F2127D0"/>
    <w:rsid w:val="6F283A6C"/>
    <w:rsid w:val="6F2E3EBD"/>
    <w:rsid w:val="6F3C74CF"/>
    <w:rsid w:val="6F43777B"/>
    <w:rsid w:val="6F456B4F"/>
    <w:rsid w:val="6F470D80"/>
    <w:rsid w:val="6F525DFE"/>
    <w:rsid w:val="6F5A49E8"/>
    <w:rsid w:val="6F865AA7"/>
    <w:rsid w:val="6F874C44"/>
    <w:rsid w:val="6F8833E6"/>
    <w:rsid w:val="6F9320DB"/>
    <w:rsid w:val="6FA70C25"/>
    <w:rsid w:val="6FA7614A"/>
    <w:rsid w:val="6FB56577"/>
    <w:rsid w:val="6FBD41D3"/>
    <w:rsid w:val="6FBE6851"/>
    <w:rsid w:val="6FD67775"/>
    <w:rsid w:val="6FD800C5"/>
    <w:rsid w:val="6FDF226D"/>
    <w:rsid w:val="6FE06ED4"/>
    <w:rsid w:val="6FE6106F"/>
    <w:rsid w:val="7009117D"/>
    <w:rsid w:val="7017123A"/>
    <w:rsid w:val="701E2A36"/>
    <w:rsid w:val="70210FA1"/>
    <w:rsid w:val="702C34AC"/>
    <w:rsid w:val="70452E3C"/>
    <w:rsid w:val="704E70B6"/>
    <w:rsid w:val="704F1013"/>
    <w:rsid w:val="70587A34"/>
    <w:rsid w:val="705E2038"/>
    <w:rsid w:val="706505BC"/>
    <w:rsid w:val="706C68B7"/>
    <w:rsid w:val="70893D25"/>
    <w:rsid w:val="709007D8"/>
    <w:rsid w:val="70BF1E1D"/>
    <w:rsid w:val="70C96338"/>
    <w:rsid w:val="70CA5233"/>
    <w:rsid w:val="70DC3719"/>
    <w:rsid w:val="70EF1FF4"/>
    <w:rsid w:val="71067C88"/>
    <w:rsid w:val="711C1923"/>
    <w:rsid w:val="71227007"/>
    <w:rsid w:val="71233DF3"/>
    <w:rsid w:val="71323323"/>
    <w:rsid w:val="71430712"/>
    <w:rsid w:val="71493E97"/>
    <w:rsid w:val="71526589"/>
    <w:rsid w:val="7159674A"/>
    <w:rsid w:val="71762B75"/>
    <w:rsid w:val="717F45F3"/>
    <w:rsid w:val="718571CB"/>
    <w:rsid w:val="718F0C16"/>
    <w:rsid w:val="719F52FE"/>
    <w:rsid w:val="71A827EF"/>
    <w:rsid w:val="71AF7537"/>
    <w:rsid w:val="71CB5F2E"/>
    <w:rsid w:val="71DD798D"/>
    <w:rsid w:val="71DE44BA"/>
    <w:rsid w:val="71E26799"/>
    <w:rsid w:val="71EA4A14"/>
    <w:rsid w:val="71FF3215"/>
    <w:rsid w:val="720C3598"/>
    <w:rsid w:val="720F0070"/>
    <w:rsid w:val="7215794C"/>
    <w:rsid w:val="72186C7D"/>
    <w:rsid w:val="72256B2C"/>
    <w:rsid w:val="722D066E"/>
    <w:rsid w:val="723301FD"/>
    <w:rsid w:val="723C0FF4"/>
    <w:rsid w:val="724B201B"/>
    <w:rsid w:val="7250390A"/>
    <w:rsid w:val="7254322E"/>
    <w:rsid w:val="7258375D"/>
    <w:rsid w:val="725B3A91"/>
    <w:rsid w:val="725E7DF0"/>
    <w:rsid w:val="726B4B74"/>
    <w:rsid w:val="727263F1"/>
    <w:rsid w:val="72794BC4"/>
    <w:rsid w:val="728D1E53"/>
    <w:rsid w:val="72944988"/>
    <w:rsid w:val="72956B96"/>
    <w:rsid w:val="72B143E4"/>
    <w:rsid w:val="72E60C21"/>
    <w:rsid w:val="72EA5426"/>
    <w:rsid w:val="72FC732A"/>
    <w:rsid w:val="73040478"/>
    <w:rsid w:val="73041EC0"/>
    <w:rsid w:val="73074741"/>
    <w:rsid w:val="730C63BD"/>
    <w:rsid w:val="732655A1"/>
    <w:rsid w:val="7334284F"/>
    <w:rsid w:val="733C762F"/>
    <w:rsid w:val="73486937"/>
    <w:rsid w:val="734C36E0"/>
    <w:rsid w:val="734D70E5"/>
    <w:rsid w:val="7350792B"/>
    <w:rsid w:val="7356257B"/>
    <w:rsid w:val="737D5F60"/>
    <w:rsid w:val="737D6107"/>
    <w:rsid w:val="738A025C"/>
    <w:rsid w:val="73AD5654"/>
    <w:rsid w:val="73B21A6E"/>
    <w:rsid w:val="73B61051"/>
    <w:rsid w:val="73B854F9"/>
    <w:rsid w:val="73E84AE3"/>
    <w:rsid w:val="740B5E99"/>
    <w:rsid w:val="740F407F"/>
    <w:rsid w:val="741547A5"/>
    <w:rsid w:val="742C418F"/>
    <w:rsid w:val="74360FA3"/>
    <w:rsid w:val="7436423E"/>
    <w:rsid w:val="744124CA"/>
    <w:rsid w:val="744F3B80"/>
    <w:rsid w:val="74640AAD"/>
    <w:rsid w:val="746573F9"/>
    <w:rsid w:val="74667981"/>
    <w:rsid w:val="74733EC8"/>
    <w:rsid w:val="747D78DD"/>
    <w:rsid w:val="7482083B"/>
    <w:rsid w:val="74842582"/>
    <w:rsid w:val="749070EA"/>
    <w:rsid w:val="74941526"/>
    <w:rsid w:val="74956A8E"/>
    <w:rsid w:val="74977C70"/>
    <w:rsid w:val="74982505"/>
    <w:rsid w:val="74BA798A"/>
    <w:rsid w:val="74BD15A9"/>
    <w:rsid w:val="74DD36B6"/>
    <w:rsid w:val="74E10AD4"/>
    <w:rsid w:val="74E15688"/>
    <w:rsid w:val="74F02E43"/>
    <w:rsid w:val="74F64FE5"/>
    <w:rsid w:val="7504734E"/>
    <w:rsid w:val="75154F8B"/>
    <w:rsid w:val="751C3A07"/>
    <w:rsid w:val="751F0D9A"/>
    <w:rsid w:val="751F397D"/>
    <w:rsid w:val="752202BC"/>
    <w:rsid w:val="7526440D"/>
    <w:rsid w:val="75267B11"/>
    <w:rsid w:val="75280763"/>
    <w:rsid w:val="75287D2D"/>
    <w:rsid w:val="752922BD"/>
    <w:rsid w:val="752E5BFE"/>
    <w:rsid w:val="75322A4D"/>
    <w:rsid w:val="75385356"/>
    <w:rsid w:val="754B5047"/>
    <w:rsid w:val="7554463B"/>
    <w:rsid w:val="755E7F25"/>
    <w:rsid w:val="75664419"/>
    <w:rsid w:val="75890BA6"/>
    <w:rsid w:val="758B45D6"/>
    <w:rsid w:val="759C55E2"/>
    <w:rsid w:val="75A12F31"/>
    <w:rsid w:val="75AC5DEB"/>
    <w:rsid w:val="75B15EED"/>
    <w:rsid w:val="75B275F6"/>
    <w:rsid w:val="75BE402A"/>
    <w:rsid w:val="75D336DA"/>
    <w:rsid w:val="75D41C70"/>
    <w:rsid w:val="75D7639D"/>
    <w:rsid w:val="75DA4FF0"/>
    <w:rsid w:val="75DE6CBF"/>
    <w:rsid w:val="75E46B4F"/>
    <w:rsid w:val="76000378"/>
    <w:rsid w:val="760A67B9"/>
    <w:rsid w:val="762C5BEA"/>
    <w:rsid w:val="76360324"/>
    <w:rsid w:val="76376EF2"/>
    <w:rsid w:val="76490485"/>
    <w:rsid w:val="76626883"/>
    <w:rsid w:val="7663137C"/>
    <w:rsid w:val="76712F99"/>
    <w:rsid w:val="768A4E34"/>
    <w:rsid w:val="768D2B31"/>
    <w:rsid w:val="76B16769"/>
    <w:rsid w:val="76B447AA"/>
    <w:rsid w:val="76B52242"/>
    <w:rsid w:val="76B70BF3"/>
    <w:rsid w:val="76CF041D"/>
    <w:rsid w:val="76DA5513"/>
    <w:rsid w:val="76E34FC7"/>
    <w:rsid w:val="76FB5D52"/>
    <w:rsid w:val="76FD24F2"/>
    <w:rsid w:val="76FE3C2A"/>
    <w:rsid w:val="77121507"/>
    <w:rsid w:val="771D2B74"/>
    <w:rsid w:val="77352BFE"/>
    <w:rsid w:val="77434891"/>
    <w:rsid w:val="7744612A"/>
    <w:rsid w:val="774A4D7D"/>
    <w:rsid w:val="775E01B0"/>
    <w:rsid w:val="77644920"/>
    <w:rsid w:val="77704917"/>
    <w:rsid w:val="77754A97"/>
    <w:rsid w:val="777F175A"/>
    <w:rsid w:val="777F4C7D"/>
    <w:rsid w:val="777F7099"/>
    <w:rsid w:val="7780239D"/>
    <w:rsid w:val="77961AFD"/>
    <w:rsid w:val="779821DB"/>
    <w:rsid w:val="77A02DFF"/>
    <w:rsid w:val="77AA099D"/>
    <w:rsid w:val="77AE2AD1"/>
    <w:rsid w:val="77AE4C8F"/>
    <w:rsid w:val="77B0704C"/>
    <w:rsid w:val="77B101AA"/>
    <w:rsid w:val="77CA48F4"/>
    <w:rsid w:val="77CB0E43"/>
    <w:rsid w:val="77D1392F"/>
    <w:rsid w:val="77D7364F"/>
    <w:rsid w:val="77E2208F"/>
    <w:rsid w:val="77E5041E"/>
    <w:rsid w:val="77E624E4"/>
    <w:rsid w:val="77E77CF7"/>
    <w:rsid w:val="77EA7E0B"/>
    <w:rsid w:val="77EC1A77"/>
    <w:rsid w:val="780B5E90"/>
    <w:rsid w:val="781D5812"/>
    <w:rsid w:val="781E70BD"/>
    <w:rsid w:val="782C5927"/>
    <w:rsid w:val="782F13D2"/>
    <w:rsid w:val="78320EC2"/>
    <w:rsid w:val="7839464E"/>
    <w:rsid w:val="783A1AB8"/>
    <w:rsid w:val="783A4C5C"/>
    <w:rsid w:val="784617C8"/>
    <w:rsid w:val="78484E92"/>
    <w:rsid w:val="785315D7"/>
    <w:rsid w:val="786614AA"/>
    <w:rsid w:val="786716C6"/>
    <w:rsid w:val="786F7C17"/>
    <w:rsid w:val="78715547"/>
    <w:rsid w:val="788606B3"/>
    <w:rsid w:val="788A71EB"/>
    <w:rsid w:val="788D3F5C"/>
    <w:rsid w:val="788F60F4"/>
    <w:rsid w:val="7890181E"/>
    <w:rsid w:val="78974D65"/>
    <w:rsid w:val="78B028EB"/>
    <w:rsid w:val="78B53588"/>
    <w:rsid w:val="78BA2917"/>
    <w:rsid w:val="78DE4493"/>
    <w:rsid w:val="78E10F80"/>
    <w:rsid w:val="78E71420"/>
    <w:rsid w:val="78F6072F"/>
    <w:rsid w:val="78FA06C5"/>
    <w:rsid w:val="7907522E"/>
    <w:rsid w:val="790C6BD6"/>
    <w:rsid w:val="7931197E"/>
    <w:rsid w:val="793766C3"/>
    <w:rsid w:val="79420C91"/>
    <w:rsid w:val="794816BB"/>
    <w:rsid w:val="795721F3"/>
    <w:rsid w:val="795D049B"/>
    <w:rsid w:val="79654E22"/>
    <w:rsid w:val="79761942"/>
    <w:rsid w:val="797A4A74"/>
    <w:rsid w:val="79824286"/>
    <w:rsid w:val="798E3ED6"/>
    <w:rsid w:val="798F6CE4"/>
    <w:rsid w:val="79914DBC"/>
    <w:rsid w:val="79B358AC"/>
    <w:rsid w:val="79BD20C7"/>
    <w:rsid w:val="79CA71AE"/>
    <w:rsid w:val="79CB38B1"/>
    <w:rsid w:val="79CF60DA"/>
    <w:rsid w:val="79DC16BC"/>
    <w:rsid w:val="79E00589"/>
    <w:rsid w:val="79E8164A"/>
    <w:rsid w:val="79F423A1"/>
    <w:rsid w:val="79FA7668"/>
    <w:rsid w:val="79FC4D31"/>
    <w:rsid w:val="79FD1D14"/>
    <w:rsid w:val="7A043FA2"/>
    <w:rsid w:val="7A0E41C8"/>
    <w:rsid w:val="7A1B1AD5"/>
    <w:rsid w:val="7A244E1D"/>
    <w:rsid w:val="7A337387"/>
    <w:rsid w:val="7A3B7C8B"/>
    <w:rsid w:val="7A54283C"/>
    <w:rsid w:val="7A684963"/>
    <w:rsid w:val="7A80725D"/>
    <w:rsid w:val="7A942F66"/>
    <w:rsid w:val="7A9E2ABA"/>
    <w:rsid w:val="7A9F4326"/>
    <w:rsid w:val="7AA719D7"/>
    <w:rsid w:val="7ABA31D5"/>
    <w:rsid w:val="7ABE07EB"/>
    <w:rsid w:val="7AD353B9"/>
    <w:rsid w:val="7AE611B5"/>
    <w:rsid w:val="7AE974E2"/>
    <w:rsid w:val="7AEF622A"/>
    <w:rsid w:val="7AF36C0C"/>
    <w:rsid w:val="7AF7641A"/>
    <w:rsid w:val="7B01162E"/>
    <w:rsid w:val="7B086187"/>
    <w:rsid w:val="7B1073FD"/>
    <w:rsid w:val="7B2A680C"/>
    <w:rsid w:val="7B2F29A6"/>
    <w:rsid w:val="7B314587"/>
    <w:rsid w:val="7B5809AD"/>
    <w:rsid w:val="7B607719"/>
    <w:rsid w:val="7B6259D9"/>
    <w:rsid w:val="7B7D279F"/>
    <w:rsid w:val="7B7E57C1"/>
    <w:rsid w:val="7B813CB8"/>
    <w:rsid w:val="7B907ABF"/>
    <w:rsid w:val="7B9C5A4C"/>
    <w:rsid w:val="7B9E6026"/>
    <w:rsid w:val="7BB1107D"/>
    <w:rsid w:val="7BC01528"/>
    <w:rsid w:val="7BF662EE"/>
    <w:rsid w:val="7C072345"/>
    <w:rsid w:val="7C0E7C97"/>
    <w:rsid w:val="7C1246D1"/>
    <w:rsid w:val="7C184DA5"/>
    <w:rsid w:val="7C1D7AE1"/>
    <w:rsid w:val="7C250CD6"/>
    <w:rsid w:val="7C2636D8"/>
    <w:rsid w:val="7C3D07C3"/>
    <w:rsid w:val="7C4151BC"/>
    <w:rsid w:val="7C447437"/>
    <w:rsid w:val="7C457B2C"/>
    <w:rsid w:val="7C46411C"/>
    <w:rsid w:val="7C503E0B"/>
    <w:rsid w:val="7C542057"/>
    <w:rsid w:val="7C7A5D83"/>
    <w:rsid w:val="7C7B5346"/>
    <w:rsid w:val="7C7B6547"/>
    <w:rsid w:val="7C816B0C"/>
    <w:rsid w:val="7C8607D8"/>
    <w:rsid w:val="7C944286"/>
    <w:rsid w:val="7C965DAA"/>
    <w:rsid w:val="7CAD76AC"/>
    <w:rsid w:val="7CB36908"/>
    <w:rsid w:val="7CBE1195"/>
    <w:rsid w:val="7CBE7A60"/>
    <w:rsid w:val="7CCA400D"/>
    <w:rsid w:val="7CD85516"/>
    <w:rsid w:val="7CD9190C"/>
    <w:rsid w:val="7CDD4EC6"/>
    <w:rsid w:val="7CF46753"/>
    <w:rsid w:val="7D011C94"/>
    <w:rsid w:val="7D0938AF"/>
    <w:rsid w:val="7D222F8D"/>
    <w:rsid w:val="7D3E2CC8"/>
    <w:rsid w:val="7D3E65C3"/>
    <w:rsid w:val="7D4C4FCA"/>
    <w:rsid w:val="7D4C653D"/>
    <w:rsid w:val="7D53311A"/>
    <w:rsid w:val="7D6937D5"/>
    <w:rsid w:val="7D7E58B9"/>
    <w:rsid w:val="7D8073B4"/>
    <w:rsid w:val="7D836F69"/>
    <w:rsid w:val="7DA12D2C"/>
    <w:rsid w:val="7DA25BEF"/>
    <w:rsid w:val="7DC31E50"/>
    <w:rsid w:val="7DC35B0C"/>
    <w:rsid w:val="7DC720AD"/>
    <w:rsid w:val="7DC905FD"/>
    <w:rsid w:val="7DCE7C36"/>
    <w:rsid w:val="7DD06D60"/>
    <w:rsid w:val="7DD4112A"/>
    <w:rsid w:val="7DE642E1"/>
    <w:rsid w:val="7DEA1CBB"/>
    <w:rsid w:val="7DF247F6"/>
    <w:rsid w:val="7E0A0E6A"/>
    <w:rsid w:val="7E164B02"/>
    <w:rsid w:val="7E201799"/>
    <w:rsid w:val="7E24332A"/>
    <w:rsid w:val="7E3002A3"/>
    <w:rsid w:val="7E301561"/>
    <w:rsid w:val="7E315016"/>
    <w:rsid w:val="7E3954F6"/>
    <w:rsid w:val="7E3D5C3C"/>
    <w:rsid w:val="7E3D7BBB"/>
    <w:rsid w:val="7E600775"/>
    <w:rsid w:val="7E864004"/>
    <w:rsid w:val="7E8F094C"/>
    <w:rsid w:val="7E9B7487"/>
    <w:rsid w:val="7E9C52E7"/>
    <w:rsid w:val="7EAA7C93"/>
    <w:rsid w:val="7EBC1C0F"/>
    <w:rsid w:val="7EC00980"/>
    <w:rsid w:val="7ECA0F1A"/>
    <w:rsid w:val="7EF47D9E"/>
    <w:rsid w:val="7F0576DD"/>
    <w:rsid w:val="7F0636F7"/>
    <w:rsid w:val="7F0C5FC9"/>
    <w:rsid w:val="7F275E4E"/>
    <w:rsid w:val="7F28002E"/>
    <w:rsid w:val="7F2B4C83"/>
    <w:rsid w:val="7F2E08D0"/>
    <w:rsid w:val="7F4D1815"/>
    <w:rsid w:val="7F761695"/>
    <w:rsid w:val="7F7F5CCB"/>
    <w:rsid w:val="7F961242"/>
    <w:rsid w:val="7FC35943"/>
    <w:rsid w:val="7FCE327F"/>
    <w:rsid w:val="7FD37E04"/>
    <w:rsid w:val="7FE01D5B"/>
    <w:rsid w:val="7FE25873"/>
    <w:rsid w:val="7FFF2A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228"/>
    <w:qFormat/>
    <w:uiPriority w:val="0"/>
    <w:pPr>
      <w:keepNext/>
      <w:keepLines/>
      <w:spacing w:before="340" w:after="330" w:line="576" w:lineRule="auto"/>
      <w:outlineLvl w:val="0"/>
    </w:pPr>
    <w:rPr>
      <w:b/>
      <w:bCs/>
      <w:kern w:val="44"/>
      <w:sz w:val="44"/>
      <w:szCs w:val="44"/>
    </w:rPr>
  </w:style>
  <w:style w:type="paragraph" w:styleId="9">
    <w:name w:val="heading 2"/>
    <w:basedOn w:val="1"/>
    <w:next w:val="1"/>
    <w:link w:val="261"/>
    <w:qFormat/>
    <w:uiPriority w:val="0"/>
    <w:pPr>
      <w:keepNext/>
      <w:keepLines/>
      <w:spacing w:before="260" w:after="260" w:line="413" w:lineRule="auto"/>
      <w:outlineLvl w:val="1"/>
    </w:pPr>
    <w:rPr>
      <w:rFonts w:ascii="Arial" w:hAnsi="Arial" w:eastAsia="黑体"/>
      <w:b/>
      <w:bCs/>
      <w:sz w:val="32"/>
      <w:szCs w:val="32"/>
    </w:rPr>
  </w:style>
  <w:style w:type="paragraph" w:styleId="10">
    <w:name w:val="heading 3"/>
    <w:basedOn w:val="1"/>
    <w:next w:val="1"/>
    <w:link w:val="247"/>
    <w:qFormat/>
    <w:uiPriority w:val="0"/>
    <w:pPr>
      <w:keepNext/>
      <w:keepLines/>
      <w:spacing w:before="120" w:after="120"/>
      <w:outlineLvl w:val="2"/>
    </w:pPr>
    <w:rPr>
      <w:rFonts w:ascii="宋体"/>
      <w:b/>
      <w:bCs/>
      <w:sz w:val="24"/>
    </w:rPr>
  </w:style>
  <w:style w:type="paragraph" w:styleId="11">
    <w:name w:val="heading 4"/>
    <w:basedOn w:val="1"/>
    <w:next w:val="1"/>
    <w:link w:val="246"/>
    <w:qFormat/>
    <w:uiPriority w:val="0"/>
    <w:pPr>
      <w:keepNext/>
      <w:keepLines/>
      <w:spacing w:before="280" w:after="290" w:line="372" w:lineRule="auto"/>
      <w:outlineLvl w:val="3"/>
    </w:pPr>
    <w:rPr>
      <w:rFonts w:ascii="Arial" w:hAnsi="Arial" w:eastAsia="黑体"/>
      <w:b/>
      <w:bCs/>
      <w:sz w:val="28"/>
      <w:szCs w:val="28"/>
    </w:rPr>
  </w:style>
  <w:style w:type="paragraph" w:styleId="12">
    <w:name w:val="heading 5"/>
    <w:basedOn w:val="1"/>
    <w:next w:val="1"/>
    <w:link w:val="283"/>
    <w:qFormat/>
    <w:uiPriority w:val="0"/>
    <w:pPr>
      <w:keepNext/>
      <w:jc w:val="center"/>
      <w:outlineLvl w:val="4"/>
    </w:pPr>
    <w:rPr>
      <w:sz w:val="36"/>
    </w:rPr>
  </w:style>
  <w:style w:type="paragraph" w:styleId="13">
    <w:name w:val="heading 6"/>
    <w:basedOn w:val="1"/>
    <w:next w:val="1"/>
    <w:link w:val="29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14">
    <w:name w:val="heading 7"/>
    <w:basedOn w:val="1"/>
    <w:next w:val="1"/>
    <w:link w:val="268"/>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5">
    <w:name w:val="heading 8"/>
    <w:basedOn w:val="1"/>
    <w:next w:val="1"/>
    <w:link w:val="249"/>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6">
    <w:name w:val="heading 9"/>
    <w:basedOn w:val="1"/>
    <w:next w:val="1"/>
    <w:link w:val="275"/>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8">
    <w:name w:val="Default Paragraph Font"/>
    <w:unhideWhenUsed/>
    <w:qFormat/>
    <w:uiPriority w:val="1"/>
  </w:style>
  <w:style w:type="table" w:default="1" w:styleId="47">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5"/>
    <w:link w:val="266"/>
    <w:qFormat/>
    <w:uiPriority w:val="0"/>
    <w:pPr>
      <w:spacing w:line="360" w:lineRule="auto"/>
      <w:ind w:firstLine="309" w:firstLineChars="100"/>
      <w:outlineLvl w:val="0"/>
    </w:pPr>
    <w:rPr>
      <w:bCs/>
      <w:color w:val="000000"/>
      <w:kern w:val="28"/>
      <w:szCs w:val="21"/>
    </w:rPr>
  </w:style>
  <w:style w:type="paragraph" w:styleId="3">
    <w:name w:val="Body Text"/>
    <w:basedOn w:val="1"/>
    <w:next w:val="4"/>
    <w:link w:val="245"/>
    <w:unhideWhenUsed/>
    <w:qFormat/>
    <w:uiPriority w:val="0"/>
    <w:pPr>
      <w:spacing w:after="120"/>
    </w:pPr>
  </w:style>
  <w:style w:type="paragraph" w:styleId="4">
    <w:name w:val="Body Text 2"/>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2"/>
    <w:basedOn w:val="6"/>
    <w:link w:val="237"/>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Body Text Indent"/>
    <w:basedOn w:val="1"/>
    <w:next w:val="7"/>
    <w:link w:val="278"/>
    <w:qFormat/>
    <w:uiPriority w:val="0"/>
    <w:pPr>
      <w:spacing w:after="120"/>
      <w:ind w:left="420" w:leftChars="200"/>
    </w:pPr>
    <w:rPr>
      <w:rFonts w:ascii="Calibri" w:hAnsi="Calibri" w:cs="黑体"/>
    </w:rPr>
  </w:style>
  <w:style w:type="paragraph" w:styleId="7">
    <w:name w:val="envelope return"/>
    <w:basedOn w:val="1"/>
    <w:qFormat/>
    <w:uiPriority w:val="0"/>
    <w:pPr>
      <w:snapToGrid w:val="0"/>
    </w:pPr>
    <w:rPr>
      <w:rFonts w:ascii="Arial" w:hAnsi="Arial"/>
    </w:rPr>
  </w:style>
  <w:style w:type="paragraph" w:styleId="17">
    <w:name w:val="List 3"/>
    <w:basedOn w:val="1"/>
    <w:qFormat/>
    <w:uiPriority w:val="0"/>
    <w:pPr>
      <w:ind w:left="100" w:leftChars="400" w:hanging="200" w:hangingChars="200"/>
    </w:pPr>
  </w:style>
  <w:style w:type="paragraph" w:styleId="18">
    <w:name w:val="toc 7"/>
    <w:basedOn w:val="1"/>
    <w:next w:val="1"/>
    <w:qFormat/>
    <w:uiPriority w:val="0"/>
    <w:pPr>
      <w:ind w:left="2520"/>
    </w:pPr>
  </w:style>
  <w:style w:type="paragraph" w:styleId="19">
    <w:name w:val="Normal Indent"/>
    <w:basedOn w:val="1"/>
    <w:link w:val="280"/>
    <w:qFormat/>
    <w:uiPriority w:val="0"/>
    <w:pPr>
      <w:ind w:firstLine="420" w:firstLineChars="200"/>
    </w:pPr>
    <w:rPr>
      <w:rFonts w:ascii="Calibri" w:hAnsi="Calibri" w:cs="黑体"/>
    </w:rPr>
  </w:style>
  <w:style w:type="paragraph" w:styleId="20">
    <w:name w:val="caption"/>
    <w:basedOn w:val="1"/>
    <w:next w:val="1"/>
    <w:qFormat/>
    <w:uiPriority w:val="0"/>
    <w:pPr>
      <w:overflowPunct w:val="0"/>
      <w:adjustRightInd w:val="0"/>
      <w:spacing w:line="500" w:lineRule="exact"/>
      <w:ind w:firstLine="560" w:firstLineChars="200"/>
      <w:textAlignment w:val="baseline"/>
    </w:pPr>
    <w:rPr>
      <w:rFonts w:ascii="Arial" w:hAnsi="Arial" w:eastAsia="黑体" w:cs="Arial"/>
      <w:kern w:val="28"/>
      <w:sz w:val="20"/>
      <w:szCs w:val="20"/>
    </w:rPr>
  </w:style>
  <w:style w:type="paragraph" w:styleId="21">
    <w:name w:val="Document Map"/>
    <w:basedOn w:val="1"/>
    <w:link w:val="243"/>
    <w:qFormat/>
    <w:uiPriority w:val="0"/>
    <w:pPr>
      <w:shd w:val="clear" w:color="auto" w:fill="000080"/>
    </w:pPr>
    <w:rPr>
      <w:rFonts w:ascii="Calibri" w:hAnsi="Calibri" w:cs="黑体"/>
    </w:rPr>
  </w:style>
  <w:style w:type="paragraph" w:styleId="22">
    <w:name w:val="toa heading"/>
    <w:basedOn w:val="1"/>
    <w:next w:val="1"/>
    <w:qFormat/>
    <w:uiPriority w:val="0"/>
    <w:pPr>
      <w:spacing w:before="120"/>
    </w:pPr>
    <w:rPr>
      <w:rFonts w:ascii="Arial" w:hAnsi="Arial" w:eastAsia="宋体" w:cs="Arial"/>
      <w:sz w:val="24"/>
    </w:rPr>
  </w:style>
  <w:style w:type="paragraph" w:styleId="23">
    <w:name w:val="annotation text"/>
    <w:basedOn w:val="1"/>
    <w:link w:val="226"/>
    <w:unhideWhenUsed/>
    <w:qFormat/>
    <w:uiPriority w:val="0"/>
    <w:pPr>
      <w:jc w:val="left"/>
    </w:pPr>
  </w:style>
  <w:style w:type="paragraph" w:styleId="24">
    <w:name w:val="Body Text 3"/>
    <w:basedOn w:val="1"/>
    <w:link w:val="230"/>
    <w:qFormat/>
    <w:uiPriority w:val="0"/>
    <w:rPr>
      <w:rFonts w:ascii="宋体"/>
      <w:sz w:val="24"/>
      <w:szCs w:val="20"/>
    </w:rPr>
  </w:style>
  <w:style w:type="paragraph" w:styleId="25">
    <w:name w:val="List 2"/>
    <w:basedOn w:val="1"/>
    <w:qFormat/>
    <w:uiPriority w:val="0"/>
    <w:pPr>
      <w:ind w:left="100" w:leftChars="200" w:hanging="200" w:hangingChars="200"/>
    </w:pPr>
  </w:style>
  <w:style w:type="paragraph" w:styleId="26">
    <w:name w:val="toc 5"/>
    <w:basedOn w:val="1"/>
    <w:next w:val="1"/>
    <w:qFormat/>
    <w:uiPriority w:val="0"/>
    <w:pPr>
      <w:ind w:left="1680"/>
    </w:pPr>
  </w:style>
  <w:style w:type="paragraph" w:styleId="27">
    <w:name w:val="toc 3"/>
    <w:basedOn w:val="1"/>
    <w:next w:val="1"/>
    <w:qFormat/>
    <w:uiPriority w:val="0"/>
    <w:pPr>
      <w:ind w:left="840"/>
    </w:pPr>
  </w:style>
  <w:style w:type="paragraph" w:styleId="28">
    <w:name w:val="Plain Text"/>
    <w:basedOn w:val="1"/>
    <w:next w:val="3"/>
    <w:link w:val="271"/>
    <w:qFormat/>
    <w:uiPriority w:val="0"/>
    <w:rPr>
      <w:rFonts w:ascii="Courier New" w:hAnsi="Courier New" w:cs="黑体"/>
      <w:szCs w:val="22"/>
    </w:rPr>
  </w:style>
  <w:style w:type="paragraph" w:styleId="29">
    <w:name w:val="toc 8"/>
    <w:basedOn w:val="1"/>
    <w:next w:val="1"/>
    <w:qFormat/>
    <w:uiPriority w:val="0"/>
    <w:pPr>
      <w:ind w:left="2940"/>
    </w:pPr>
  </w:style>
  <w:style w:type="paragraph" w:styleId="30">
    <w:name w:val="Date"/>
    <w:basedOn w:val="1"/>
    <w:next w:val="1"/>
    <w:link w:val="250"/>
    <w:qFormat/>
    <w:uiPriority w:val="0"/>
    <w:rPr>
      <w:rFonts w:ascii="Calibri" w:hAnsi="Calibri" w:cs="黑体"/>
      <w:sz w:val="24"/>
      <w:szCs w:val="22"/>
    </w:rPr>
  </w:style>
  <w:style w:type="paragraph" w:styleId="31">
    <w:name w:val="Body Text Indent 2"/>
    <w:basedOn w:val="1"/>
    <w:link w:val="262"/>
    <w:qFormat/>
    <w:uiPriority w:val="0"/>
    <w:pPr>
      <w:spacing w:after="120" w:line="480" w:lineRule="auto"/>
      <w:ind w:left="420" w:leftChars="200"/>
    </w:pPr>
    <w:rPr>
      <w:rFonts w:ascii="Calibri" w:hAnsi="Calibri" w:cs="黑体"/>
    </w:rPr>
  </w:style>
  <w:style w:type="paragraph" w:styleId="32">
    <w:name w:val="Balloon Text"/>
    <w:basedOn w:val="1"/>
    <w:link w:val="270"/>
    <w:qFormat/>
    <w:uiPriority w:val="0"/>
    <w:rPr>
      <w:rFonts w:ascii="Calibri" w:hAnsi="Calibri" w:cs="黑体"/>
      <w:sz w:val="18"/>
      <w:szCs w:val="18"/>
    </w:rPr>
  </w:style>
  <w:style w:type="paragraph" w:styleId="33">
    <w:name w:val="footer"/>
    <w:basedOn w:val="1"/>
    <w:link w:val="231"/>
    <w:qFormat/>
    <w:uiPriority w:val="0"/>
    <w:pPr>
      <w:tabs>
        <w:tab w:val="center" w:pos="4153"/>
        <w:tab w:val="right" w:pos="8306"/>
      </w:tabs>
      <w:snapToGrid w:val="0"/>
      <w:jc w:val="left"/>
    </w:pPr>
    <w:rPr>
      <w:rFonts w:ascii="Calibri" w:hAnsi="Calibri" w:cs="黑体"/>
      <w:sz w:val="18"/>
      <w:szCs w:val="18"/>
    </w:rPr>
  </w:style>
  <w:style w:type="paragraph" w:styleId="34">
    <w:name w:val="header"/>
    <w:basedOn w:val="1"/>
    <w:link w:val="252"/>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35">
    <w:name w:val="toc 1"/>
    <w:basedOn w:val="1"/>
    <w:next w:val="1"/>
    <w:qFormat/>
    <w:uiPriority w:val="0"/>
    <w:pPr>
      <w:tabs>
        <w:tab w:val="right" w:leader="dot" w:pos="9060"/>
      </w:tabs>
      <w:spacing w:before="120" w:after="120"/>
      <w:jc w:val="center"/>
    </w:pPr>
    <w:rPr>
      <w:b/>
      <w:bCs/>
      <w:caps/>
      <w:sz w:val="24"/>
    </w:rPr>
  </w:style>
  <w:style w:type="paragraph" w:styleId="36">
    <w:name w:val="toc 4"/>
    <w:basedOn w:val="1"/>
    <w:next w:val="1"/>
    <w:qFormat/>
    <w:uiPriority w:val="0"/>
    <w:pPr>
      <w:ind w:left="1260"/>
    </w:pPr>
  </w:style>
  <w:style w:type="paragraph" w:styleId="37">
    <w:name w:val="List"/>
    <w:basedOn w:val="1"/>
    <w:qFormat/>
    <w:uiPriority w:val="0"/>
    <w:pPr>
      <w:ind w:left="200" w:hanging="200" w:hangingChars="200"/>
    </w:pPr>
  </w:style>
  <w:style w:type="paragraph" w:styleId="38">
    <w:name w:val="toc 6"/>
    <w:basedOn w:val="1"/>
    <w:next w:val="1"/>
    <w:qFormat/>
    <w:uiPriority w:val="0"/>
    <w:pPr>
      <w:ind w:left="2100"/>
    </w:pPr>
  </w:style>
  <w:style w:type="paragraph" w:styleId="39">
    <w:name w:val="Body Text Indent 3"/>
    <w:basedOn w:val="1"/>
    <w:link w:val="264"/>
    <w:qFormat/>
    <w:uiPriority w:val="0"/>
    <w:pPr>
      <w:spacing w:after="120"/>
      <w:ind w:left="420" w:leftChars="200"/>
    </w:pPr>
    <w:rPr>
      <w:rFonts w:ascii="Calibri" w:hAnsi="Calibri" w:cs="黑体"/>
      <w:sz w:val="16"/>
      <w:szCs w:val="16"/>
    </w:rPr>
  </w:style>
  <w:style w:type="paragraph" w:styleId="40">
    <w:name w:val="toc 2"/>
    <w:basedOn w:val="1"/>
    <w:next w:val="1"/>
    <w:qFormat/>
    <w:uiPriority w:val="0"/>
    <w:pPr>
      <w:tabs>
        <w:tab w:val="right" w:leader="dot" w:pos="9118"/>
      </w:tabs>
      <w:spacing w:line="560" w:lineRule="exact"/>
      <w:ind w:left="210"/>
      <w:jc w:val="left"/>
    </w:pPr>
    <w:rPr>
      <w:smallCaps/>
      <w:sz w:val="20"/>
      <w:szCs w:val="20"/>
    </w:rPr>
  </w:style>
  <w:style w:type="paragraph" w:styleId="41">
    <w:name w:val="toc 9"/>
    <w:basedOn w:val="1"/>
    <w:next w:val="1"/>
    <w:qFormat/>
    <w:uiPriority w:val="0"/>
    <w:pPr>
      <w:ind w:left="3360"/>
    </w:pPr>
  </w:style>
  <w:style w:type="paragraph" w:styleId="42">
    <w:name w:val="List Continue 2"/>
    <w:basedOn w:val="1"/>
    <w:qFormat/>
    <w:uiPriority w:val="0"/>
    <w:pPr>
      <w:spacing w:after="120"/>
      <w:ind w:left="840" w:leftChars="400"/>
    </w:p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pPr>
      <w:spacing w:line="220" w:lineRule="exact"/>
      <w:jc w:val="center"/>
    </w:pPr>
    <w:rPr>
      <w:rFonts w:ascii="仿宋_GB2312" w:eastAsia="仿宋_GB2312"/>
      <w:szCs w:val="21"/>
    </w:rPr>
  </w:style>
  <w:style w:type="paragraph" w:styleId="45">
    <w:name w:val="Title"/>
    <w:basedOn w:val="1"/>
    <w:link w:val="284"/>
    <w:qFormat/>
    <w:uiPriority w:val="0"/>
    <w:pPr>
      <w:adjustRightInd w:val="0"/>
      <w:spacing w:before="240" w:after="60" w:line="420" w:lineRule="atLeast"/>
      <w:jc w:val="center"/>
      <w:textAlignment w:val="baseline"/>
      <w:outlineLvl w:val="0"/>
    </w:pPr>
    <w:rPr>
      <w:rFonts w:ascii="Arial" w:hAnsi="Arial" w:cs="黑体"/>
      <w:b/>
      <w:sz w:val="32"/>
      <w:szCs w:val="22"/>
    </w:rPr>
  </w:style>
  <w:style w:type="paragraph" w:styleId="46">
    <w:name w:val="annotation subject"/>
    <w:basedOn w:val="23"/>
    <w:next w:val="23"/>
    <w:link w:val="234"/>
    <w:qFormat/>
    <w:uiPriority w:val="0"/>
    <w:pPr>
      <w:overflowPunct w:val="0"/>
      <w:adjustRightInd w:val="0"/>
      <w:spacing w:line="500" w:lineRule="exact"/>
      <w:ind w:firstLine="560" w:firstLineChars="200"/>
      <w:textAlignment w:val="baseline"/>
    </w:pPr>
    <w:rPr>
      <w:rFonts w:eastAsia="仿宋_GB2312"/>
      <w:b/>
      <w:bCs/>
      <w:kern w:val="28"/>
      <w:sz w:val="28"/>
      <w:szCs w:val="28"/>
    </w:rPr>
  </w:style>
  <w:style w:type="character" w:styleId="49">
    <w:name w:val="Strong"/>
    <w:qFormat/>
    <w:uiPriority w:val="0"/>
    <w:rPr>
      <w:rFonts w:eastAsia="仿宋_GB2312"/>
      <w:b/>
      <w:bCs/>
      <w:kern w:val="2"/>
      <w:sz w:val="28"/>
      <w:szCs w:val="24"/>
      <w:lang w:val="en-US" w:eastAsia="zh-CN" w:bidi="ar-SA"/>
    </w:rPr>
  </w:style>
  <w:style w:type="character" w:styleId="50">
    <w:name w:val="page number"/>
    <w:basedOn w:val="48"/>
    <w:qFormat/>
    <w:uiPriority w:val="0"/>
    <w:rPr>
      <w:rFonts w:ascii="Arial" w:hAnsi="Arial" w:eastAsia="黑体"/>
      <w:kern w:val="2"/>
      <w:sz w:val="21"/>
      <w:szCs w:val="21"/>
      <w:lang w:val="en-US" w:eastAsia="zh-CN" w:bidi="ar-SA"/>
    </w:rPr>
  </w:style>
  <w:style w:type="character" w:styleId="51">
    <w:name w:val="FollowedHyperlink"/>
    <w:qFormat/>
    <w:uiPriority w:val="0"/>
    <w:rPr>
      <w:rFonts w:ascii="Arial" w:hAnsi="Arial" w:eastAsia="黑体"/>
      <w:color w:val="800080"/>
      <w:kern w:val="2"/>
      <w:sz w:val="21"/>
      <w:szCs w:val="21"/>
      <w:u w:val="single"/>
      <w:lang w:val="en-US" w:eastAsia="zh-CN" w:bidi="ar-SA"/>
    </w:rPr>
  </w:style>
  <w:style w:type="character" w:styleId="52">
    <w:name w:val="Emphasis"/>
    <w:qFormat/>
    <w:uiPriority w:val="20"/>
    <w:rPr>
      <w:i/>
    </w:rPr>
  </w:style>
  <w:style w:type="character" w:styleId="53">
    <w:name w:val="Hyperlink"/>
    <w:basedOn w:val="48"/>
    <w:qFormat/>
    <w:uiPriority w:val="0"/>
    <w:rPr>
      <w:rFonts w:ascii="Arial" w:hAnsi="Arial" w:eastAsia="黑体"/>
      <w:color w:val="0000FF"/>
      <w:kern w:val="2"/>
      <w:sz w:val="21"/>
      <w:szCs w:val="21"/>
      <w:u w:val="single"/>
      <w:lang w:val="en-US" w:eastAsia="zh-CN" w:bidi="ar-SA"/>
    </w:rPr>
  </w:style>
  <w:style w:type="character" w:styleId="54">
    <w:name w:val="annotation reference"/>
    <w:qFormat/>
    <w:uiPriority w:val="0"/>
    <w:rPr>
      <w:rFonts w:eastAsia="仿宋_GB2312"/>
      <w:kern w:val="2"/>
      <w:sz w:val="21"/>
      <w:szCs w:val="21"/>
      <w:lang w:val="en-US" w:eastAsia="zh-CN" w:bidi="ar-SA"/>
    </w:rPr>
  </w:style>
  <w:style w:type="paragraph" w:styleId="55">
    <w:name w:val="List Paragraph"/>
    <w:basedOn w:val="1"/>
    <w:qFormat/>
    <w:uiPriority w:val="34"/>
    <w:pPr>
      <w:ind w:left="720"/>
      <w:contextualSpacing/>
    </w:pPr>
    <w:rPr>
      <w:rFonts w:ascii="Calibri" w:hAnsi="Calibri"/>
      <w:szCs w:val="22"/>
    </w:rPr>
  </w:style>
  <w:style w:type="paragraph" w:customStyle="1" w:styleId="56">
    <w:name w:val="Default"/>
    <w:next w:val="1"/>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57">
    <w:name w:val="Body Text 21"/>
    <w:basedOn w:val="1"/>
    <w:qFormat/>
    <w:uiPriority w:val="0"/>
    <w:pPr>
      <w:spacing w:after="120" w:line="480" w:lineRule="auto"/>
    </w:pPr>
  </w:style>
  <w:style w:type="paragraph" w:customStyle="1" w:styleId="58">
    <w:name w:val="xl43"/>
    <w:basedOn w:val="1"/>
    <w:qFormat/>
    <w:uiPriority w:val="0"/>
    <w:pPr>
      <w:widowControl/>
      <w:pBdr>
        <w:left w:val="single" w:color="auto" w:sz="4" w:space="0"/>
        <w:bottom w:val="single" w:color="auto" w:sz="8" w:space="0"/>
        <w:right w:val="single" w:color="auto" w:sz="8"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59">
    <w:name w:val="样式6"/>
    <w:basedOn w:val="9"/>
    <w:qFormat/>
    <w:uiPriority w:val="0"/>
    <w:rPr>
      <w:sz w:val="28"/>
    </w:rPr>
  </w:style>
  <w:style w:type="paragraph" w:customStyle="1" w:styleId="60">
    <w:name w:val="样式84"/>
    <w:basedOn w:val="1"/>
    <w:qFormat/>
    <w:uiPriority w:val="0"/>
    <w:pPr>
      <w:spacing w:line="500" w:lineRule="exact"/>
      <w:jc w:val="left"/>
      <w:outlineLvl w:val="3"/>
    </w:pPr>
    <w:rPr>
      <w:rFonts w:eastAsia="仿宋_GB2312"/>
      <w:b/>
      <w:sz w:val="28"/>
      <w:szCs w:val="28"/>
    </w:rPr>
  </w:style>
  <w:style w:type="paragraph" w:customStyle="1" w:styleId="61">
    <w:name w:val="xl41"/>
    <w:basedOn w:val="1"/>
    <w:qFormat/>
    <w:uiPriority w:val="0"/>
    <w:pPr>
      <w:widowControl/>
      <w:pBdr>
        <w:top w:val="single" w:color="auto" w:sz="8"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6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63">
    <w:name w:val="XW标题1"/>
    <w:basedOn w:val="64"/>
    <w:next w:val="64"/>
    <w:qFormat/>
    <w:uiPriority w:val="0"/>
    <w:pPr>
      <w:snapToGrid/>
      <w:spacing w:before="5000" w:line="360" w:lineRule="auto"/>
      <w:ind w:left="425" w:hanging="425" w:firstLineChars="0"/>
      <w:jc w:val="center"/>
      <w:outlineLvl w:val="0"/>
    </w:pPr>
    <w:rPr>
      <w:rFonts w:ascii="Arial" w:hAnsi="Arial" w:eastAsia="黑体"/>
      <w:sz w:val="44"/>
      <w:szCs w:val="20"/>
    </w:rPr>
  </w:style>
  <w:style w:type="paragraph" w:customStyle="1" w:styleId="64">
    <w:name w:val="XW正文"/>
    <w:basedOn w:val="6"/>
    <w:qFormat/>
    <w:uiPriority w:val="0"/>
    <w:pPr>
      <w:adjustRightInd w:val="0"/>
      <w:snapToGrid w:val="0"/>
      <w:spacing w:after="0" w:line="300" w:lineRule="auto"/>
      <w:ind w:left="0" w:leftChars="0" w:firstLine="520" w:firstLineChars="200"/>
      <w:jc w:val="left"/>
    </w:pPr>
    <w:rPr>
      <w:kern w:val="0"/>
    </w:rPr>
  </w:style>
  <w:style w:type="paragraph" w:customStyle="1" w:styleId="65">
    <w:name w:val="样式 样式 样式 宋体 黑色 行距: 固定值 25 磅 + (西文) 宋体 首行缩进:  2 字符 + (西文) 宋体"/>
    <w:basedOn w:val="66"/>
    <w:link w:val="238"/>
    <w:qFormat/>
    <w:uiPriority w:val="0"/>
  </w:style>
  <w:style w:type="paragraph" w:customStyle="1" w:styleId="66">
    <w:name w:val="样式 样式 宋体 黑色 行距: 固定值 25 磅 + (西文) 宋体 首行缩进:  2 字符"/>
    <w:basedOn w:val="67"/>
    <w:link w:val="244"/>
    <w:qFormat/>
    <w:uiPriority w:val="0"/>
  </w:style>
  <w:style w:type="paragraph" w:customStyle="1" w:styleId="67">
    <w:name w:val="样式 宋体 黑色 行距: 固定值 25 磅"/>
    <w:basedOn w:val="1"/>
    <w:link w:val="225"/>
    <w:qFormat/>
    <w:uiPriority w:val="0"/>
    <w:pPr>
      <w:overflowPunct w:val="0"/>
      <w:adjustRightInd w:val="0"/>
      <w:spacing w:line="500" w:lineRule="exact"/>
      <w:ind w:firstLine="560" w:firstLineChars="200"/>
      <w:textAlignment w:val="baseline"/>
    </w:pPr>
    <w:rPr>
      <w:rFonts w:ascii="Calibri" w:hAnsi="Calibri" w:eastAsia="仿宋_GB2312" w:cs="黑体"/>
      <w:color w:val="000000"/>
      <w:kern w:val="28"/>
      <w:sz w:val="28"/>
      <w:szCs w:val="22"/>
    </w:rPr>
  </w:style>
  <w:style w:type="paragraph" w:customStyle="1" w:styleId="68">
    <w:name w:val="xl46"/>
    <w:basedOn w:val="1"/>
    <w:qFormat/>
    <w:uiPriority w:val="0"/>
    <w:pPr>
      <w:widowControl/>
      <w:pBdr>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69">
    <w:name w:val="范本-正文"/>
    <w:qFormat/>
    <w:uiPriority w:val="0"/>
    <w:pPr>
      <w:spacing w:line="360" w:lineRule="auto"/>
      <w:ind w:firstLine="420"/>
    </w:pPr>
    <w:rPr>
      <w:rFonts w:ascii="Times New Roman" w:hAnsi="Times New Roman" w:eastAsia="宋体" w:cs="Times New Roman"/>
      <w:iCs/>
      <w:kern w:val="2"/>
      <w:sz w:val="24"/>
      <w:szCs w:val="21"/>
      <w:lang w:val="en-US" w:eastAsia="zh-CN" w:bidi="ar-SA"/>
    </w:rPr>
  </w:style>
  <w:style w:type="paragraph" w:customStyle="1" w:styleId="70">
    <w:name w:val="正文1 Char1 Char Char"/>
    <w:basedOn w:val="1"/>
    <w:link w:val="269"/>
    <w:qFormat/>
    <w:uiPriority w:val="0"/>
    <w:pPr>
      <w:overflowPunct w:val="0"/>
      <w:adjustRightInd w:val="0"/>
      <w:spacing w:line="500" w:lineRule="exact"/>
      <w:ind w:left="2" w:firstLine="574" w:firstLineChars="205"/>
      <w:jc w:val="left"/>
      <w:textAlignment w:val="baseline"/>
    </w:pPr>
    <w:rPr>
      <w:rFonts w:ascii="Calibri" w:hAnsi="Calibri" w:eastAsia="仿宋_GB2312" w:cs="黑体"/>
      <w:kern w:val="28"/>
      <w:sz w:val="28"/>
      <w:szCs w:val="28"/>
    </w:rPr>
  </w:style>
  <w:style w:type="paragraph" w:customStyle="1" w:styleId="71">
    <w:name w:val="标题3-1"/>
    <w:basedOn w:val="10"/>
    <w:qFormat/>
    <w:uiPriority w:val="0"/>
    <w:pPr>
      <w:tabs>
        <w:tab w:val="left" w:pos="425"/>
      </w:tabs>
      <w:spacing w:before="260" w:after="260" w:line="413" w:lineRule="auto"/>
      <w:ind w:left="425" w:hanging="425"/>
    </w:pPr>
    <w:rPr>
      <w:rFonts w:ascii="Times New Roman"/>
      <w:bCs w:val="0"/>
      <w:szCs w:val="20"/>
    </w:rPr>
  </w:style>
  <w:style w:type="paragraph" w:customStyle="1" w:styleId="72">
    <w:name w:val="默认段落字体 Para Char Char Char Char"/>
    <w:basedOn w:val="1"/>
    <w:qFormat/>
    <w:uiPriority w:val="0"/>
    <w:pPr>
      <w:snapToGrid w:val="0"/>
      <w:spacing w:line="360" w:lineRule="auto"/>
      <w:ind w:firstLine="200" w:firstLineChars="200"/>
    </w:pPr>
    <w:rPr>
      <w:rFonts w:eastAsia="仿宋_GB2312"/>
      <w:sz w:val="24"/>
    </w:rPr>
  </w:style>
  <w:style w:type="paragraph" w:customStyle="1" w:styleId="73">
    <w:name w:val="样式 标题 1 + 黑体 三号 非加粗 居中 段前: 6 磅 段后: 6 磅 行距: 固定值 20 磅"/>
    <w:basedOn w:val="8"/>
    <w:qFormat/>
    <w:uiPriority w:val="0"/>
    <w:pPr>
      <w:spacing w:before="120" w:after="120" w:line="400" w:lineRule="exact"/>
      <w:jc w:val="center"/>
    </w:pPr>
    <w:rPr>
      <w:rFonts w:ascii="黑体" w:hAnsi="黑体" w:eastAsia="黑体" w:cs="宋体"/>
      <w:b w:val="0"/>
      <w:bCs w:val="0"/>
      <w:sz w:val="32"/>
      <w:szCs w:val="20"/>
    </w:rPr>
  </w:style>
  <w:style w:type="paragraph" w:customStyle="1" w:styleId="74">
    <w:name w:val="样式 标题 1 + 居中"/>
    <w:basedOn w:val="8"/>
    <w:qFormat/>
    <w:uiPriority w:val="0"/>
    <w:pPr>
      <w:overflowPunct w:val="0"/>
      <w:adjustRightInd w:val="0"/>
      <w:snapToGrid w:val="0"/>
      <w:ind w:firstLine="560" w:firstLineChars="200"/>
      <w:jc w:val="center"/>
      <w:textAlignment w:val="baseline"/>
    </w:pPr>
    <w:rPr>
      <w:rFonts w:cs="宋体"/>
      <w:szCs w:val="20"/>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XW表内文字"/>
    <w:basedOn w:val="1"/>
    <w:qFormat/>
    <w:uiPriority w:val="0"/>
    <w:pPr>
      <w:adjustRightInd w:val="0"/>
      <w:spacing w:before="60" w:after="60" w:line="300" w:lineRule="exact"/>
      <w:ind w:firstLine="422" w:firstLineChars="200"/>
      <w:jc w:val="center"/>
    </w:pPr>
    <w:rPr>
      <w:rFonts w:hAnsi="宋体"/>
      <w:kern w:val="0"/>
      <w:szCs w:val="20"/>
    </w:rPr>
  </w:style>
  <w:style w:type="paragraph" w:customStyle="1" w:styleId="77">
    <w:name w:val="样式 标题 3 + (中文) 黑体 小四 非加粗 段前: 7.8 磅 段后: 0 磅 行距: 固定值 20 磅"/>
    <w:basedOn w:val="10"/>
    <w:qFormat/>
    <w:uiPriority w:val="0"/>
    <w:pPr>
      <w:spacing w:before="0" w:after="0" w:line="400" w:lineRule="exact"/>
    </w:pPr>
    <w:rPr>
      <w:rFonts w:eastAsia="黑体" w:cs="宋体"/>
      <w:b w:val="0"/>
      <w:bCs w:val="0"/>
      <w:szCs w:val="20"/>
    </w:rPr>
  </w:style>
  <w:style w:type="paragraph" w:customStyle="1" w:styleId="78">
    <w:name w:val="xl40"/>
    <w:basedOn w:val="1"/>
    <w:qFormat/>
    <w:uiPriority w:val="0"/>
    <w:pPr>
      <w:widowControl/>
      <w:pBdr>
        <w:top w:val="single" w:color="auto" w:sz="8" w:space="0"/>
        <w:left w:val="single" w:color="auto" w:sz="4" w:space="0"/>
        <w:bottom w:val="single" w:color="auto" w:sz="8"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79">
    <w:name w:val="列出段落11"/>
    <w:basedOn w:val="1"/>
    <w:qFormat/>
    <w:uiPriority w:val="0"/>
    <w:pPr>
      <w:ind w:firstLine="420" w:firstLineChars="200"/>
    </w:pPr>
    <w:rPr>
      <w:rFonts w:ascii="Calibri" w:hAnsi="Calibri"/>
      <w:szCs w:val="22"/>
    </w:rPr>
  </w:style>
  <w:style w:type="paragraph" w:customStyle="1" w:styleId="80">
    <w:name w:val="表格文字"/>
    <w:basedOn w:val="1"/>
    <w:link w:val="233"/>
    <w:qFormat/>
    <w:uiPriority w:val="0"/>
    <w:pPr>
      <w:adjustRightInd w:val="0"/>
      <w:spacing w:line="420" w:lineRule="atLeast"/>
      <w:jc w:val="left"/>
      <w:textAlignment w:val="baseline"/>
    </w:pPr>
    <w:rPr>
      <w:rFonts w:ascii="Calibri" w:hAnsi="Calibri" w:cs="黑体"/>
      <w:szCs w:val="22"/>
    </w:rPr>
  </w:style>
  <w:style w:type="paragraph" w:customStyle="1" w:styleId="81">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82">
    <w:name w:val="表格1"/>
    <w:link w:val="291"/>
    <w:qFormat/>
    <w:uiPriority w:val="0"/>
    <w:pPr>
      <w:jc w:val="center"/>
    </w:pPr>
    <w:rPr>
      <w:rFonts w:ascii="Calibri" w:hAnsi="Calibri" w:eastAsia="宋体" w:cs="黑体"/>
      <w:kern w:val="2"/>
      <w:sz w:val="18"/>
      <w:szCs w:val="22"/>
      <w:lang w:val="en-US" w:eastAsia="zh-CN" w:bidi="ar-SA"/>
    </w:rPr>
  </w:style>
  <w:style w:type="paragraph" w:customStyle="1" w:styleId="83">
    <w:name w:val="_Style 1"/>
    <w:basedOn w:val="1"/>
    <w:unhideWhenUsed/>
    <w:qFormat/>
    <w:uiPriority w:val="0"/>
    <w:pPr>
      <w:widowControl/>
      <w:tabs>
        <w:tab w:val="left" w:pos="509"/>
      </w:tabs>
      <w:spacing w:after="160" w:line="240" w:lineRule="exact"/>
      <w:ind w:left="252"/>
      <w:jc w:val="left"/>
    </w:pPr>
    <w:rPr>
      <w:szCs w:val="21"/>
    </w:rPr>
  </w:style>
  <w:style w:type="paragraph" w:customStyle="1" w:styleId="84">
    <w:name w:val="xl25"/>
    <w:basedOn w:val="1"/>
    <w:qFormat/>
    <w:uiPriority w:val="0"/>
    <w:pPr>
      <w:widowControl/>
      <w:pBdr>
        <w:left w:val="single" w:color="auto" w:sz="8" w:space="0"/>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85">
    <w:name w:val="表"/>
    <w:basedOn w:val="1"/>
    <w:next w:val="1"/>
    <w:qFormat/>
    <w:uiPriority w:val="0"/>
    <w:pPr>
      <w:tabs>
        <w:tab w:val="left" w:pos="360"/>
      </w:tabs>
      <w:overflowPunct w:val="0"/>
      <w:autoSpaceDE w:val="0"/>
      <w:autoSpaceDN w:val="0"/>
      <w:adjustRightInd w:val="0"/>
      <w:spacing w:line="500" w:lineRule="exact"/>
      <w:ind w:firstLine="560" w:firstLineChars="200"/>
      <w:jc w:val="center"/>
      <w:textAlignment w:val="baseline"/>
    </w:pPr>
    <w:rPr>
      <w:rFonts w:ascii="黑体" w:eastAsia="仿宋_GB2312"/>
      <w:kern w:val="0"/>
      <w:sz w:val="28"/>
      <w:szCs w:val="20"/>
    </w:rPr>
  </w:style>
  <w:style w:type="paragraph" w:customStyle="1" w:styleId="86">
    <w:name w:val="No Spacing1"/>
    <w:basedOn w:val="1"/>
    <w:qFormat/>
    <w:uiPriority w:val="0"/>
    <w:pPr>
      <w:spacing w:line="400" w:lineRule="exact"/>
    </w:pPr>
    <w:rPr>
      <w:rFonts w:ascii="Calibri" w:hAnsi="Calibri"/>
      <w:sz w:val="24"/>
    </w:rPr>
  </w:style>
  <w:style w:type="paragraph" w:customStyle="1" w:styleId="87">
    <w:name w:val="样式 首行缩进:  2 字符"/>
    <w:basedOn w:val="1"/>
    <w:link w:val="229"/>
    <w:qFormat/>
    <w:uiPriority w:val="0"/>
    <w:pPr>
      <w:overflowPunct w:val="0"/>
      <w:spacing w:line="500" w:lineRule="exact"/>
      <w:ind w:firstLine="567"/>
    </w:pPr>
    <w:rPr>
      <w:rFonts w:ascii="Calibri" w:hAnsi="Calibri" w:eastAsia="仿宋_GB2312" w:cs="黑体"/>
      <w:sz w:val="28"/>
      <w:szCs w:val="22"/>
    </w:rPr>
  </w:style>
  <w:style w:type="paragraph" w:customStyle="1" w:styleId="88">
    <w:name w:val="4 Char"/>
    <w:basedOn w:val="1"/>
    <w:qFormat/>
    <w:uiPriority w:val="0"/>
    <w:pPr>
      <w:overflowPunct w:val="0"/>
      <w:adjustRightInd w:val="0"/>
      <w:snapToGrid w:val="0"/>
      <w:spacing w:line="360" w:lineRule="auto"/>
      <w:ind w:firstLine="200" w:firstLineChars="200"/>
      <w:textAlignment w:val="baseline"/>
    </w:pPr>
    <w:rPr>
      <w:rFonts w:eastAsia="仿宋_GB2312" w:cs="宋体"/>
      <w:kern w:val="28"/>
      <w:sz w:val="24"/>
      <w:szCs w:val="28"/>
    </w:rPr>
  </w:style>
  <w:style w:type="paragraph" w:customStyle="1" w:styleId="89">
    <w:name w:val="样式 黑体 小四 首行缩进:  2 字符 行距: 固定值 30 磅"/>
    <w:basedOn w:val="1"/>
    <w:qFormat/>
    <w:uiPriority w:val="0"/>
    <w:pPr>
      <w:overflowPunct w:val="0"/>
      <w:adjustRightInd w:val="0"/>
      <w:spacing w:line="600" w:lineRule="exact"/>
      <w:ind w:firstLine="567" w:firstLineChars="200"/>
      <w:textAlignment w:val="baseline"/>
    </w:pPr>
    <w:rPr>
      <w:rFonts w:ascii="黑体" w:eastAsia="黑体" w:cs="宋体"/>
      <w:kern w:val="28"/>
      <w:sz w:val="24"/>
      <w:szCs w:val="20"/>
    </w:rPr>
  </w:style>
  <w:style w:type="paragraph" w:customStyle="1" w:styleId="90">
    <w:name w:val="xl45"/>
    <w:basedOn w:val="1"/>
    <w:qFormat/>
    <w:uiPriority w:val="0"/>
    <w:pPr>
      <w:widowControl/>
      <w:pBdr>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91">
    <w:name w:val="XW表名"/>
    <w:basedOn w:val="8"/>
    <w:qFormat/>
    <w:uiPriority w:val="0"/>
    <w:pPr>
      <w:adjustRightInd w:val="0"/>
      <w:spacing w:before="300" w:after="80" w:line="240" w:lineRule="auto"/>
      <w:jc w:val="center"/>
      <w:outlineLvl w:val="9"/>
    </w:pPr>
    <w:rPr>
      <w:rFonts w:eastAsia="黑体"/>
      <w:b w:val="0"/>
      <w:bCs w:val="0"/>
      <w:sz w:val="24"/>
      <w:szCs w:val="20"/>
    </w:rPr>
  </w:style>
  <w:style w:type="paragraph" w:customStyle="1" w:styleId="92">
    <w:name w:val="表格文字左端"/>
    <w:basedOn w:val="80"/>
    <w:link w:val="257"/>
    <w:qFormat/>
    <w:uiPriority w:val="0"/>
    <w:pPr>
      <w:adjustRightInd/>
      <w:spacing w:line="260" w:lineRule="exact"/>
      <w:ind w:firstLine="50" w:firstLineChars="50"/>
      <w:textAlignment w:val="auto"/>
    </w:pPr>
    <w:rPr>
      <w:rFonts w:eastAsia="楷体_GB2312"/>
      <w:szCs w:val="21"/>
    </w:rPr>
  </w:style>
  <w:style w:type="paragraph" w:customStyle="1" w:styleId="93">
    <w:name w:val="xl31"/>
    <w:basedOn w:val="1"/>
    <w:qFormat/>
    <w:uiPriority w:val="0"/>
    <w:pPr>
      <w:widowControl/>
      <w:spacing w:before="100" w:beforeAutospacing="1" w:after="100" w:afterAutospacing="1"/>
      <w:jc w:val="center"/>
    </w:pPr>
    <w:rPr>
      <w:rFonts w:ascii="宋体" w:hAnsi="宋体"/>
      <w:kern w:val="0"/>
      <w:sz w:val="24"/>
    </w:rPr>
  </w:style>
  <w:style w:type="paragraph" w:customStyle="1" w:styleId="94">
    <w:name w:val="Char Char Char Char Char Char Char"/>
    <w:basedOn w:val="1"/>
    <w:qFormat/>
    <w:uiPriority w:val="0"/>
    <w:pPr>
      <w:overflowPunct w:val="0"/>
      <w:adjustRightInd w:val="0"/>
      <w:snapToGrid w:val="0"/>
      <w:spacing w:line="500" w:lineRule="exact"/>
      <w:ind w:firstLine="480" w:firstLineChars="200"/>
      <w:textAlignment w:val="baseline"/>
    </w:pPr>
    <w:rPr>
      <w:rFonts w:eastAsia="仿宋_GB2312"/>
      <w:kern w:val="28"/>
      <w:sz w:val="28"/>
      <w:szCs w:val="28"/>
    </w:rPr>
  </w:style>
  <w:style w:type="paragraph" w:customStyle="1" w:styleId="95">
    <w:name w:val="正  文"/>
    <w:basedOn w:val="1"/>
    <w:qFormat/>
    <w:uiPriority w:val="0"/>
    <w:pPr>
      <w:spacing w:line="360" w:lineRule="auto"/>
      <w:ind w:firstLine="200" w:firstLineChars="200"/>
    </w:pPr>
    <w:rPr>
      <w:rFonts w:ascii="宋体"/>
      <w:sz w:val="24"/>
    </w:rPr>
  </w:style>
  <w:style w:type="paragraph" w:customStyle="1" w:styleId="96">
    <w:name w:val="xl30"/>
    <w:basedOn w:val="1"/>
    <w:qFormat/>
    <w:uiPriority w:val="0"/>
    <w:pPr>
      <w:widowControl/>
      <w:pBdr>
        <w:bottom w:val="single" w:color="auto" w:sz="4" w:space="0"/>
        <w:right w:val="single" w:color="auto" w:sz="8" w:space="0"/>
      </w:pBdr>
      <w:overflowPunct w:val="0"/>
      <w:adjustRightInd w:val="0"/>
      <w:spacing w:before="100" w:beforeAutospacing="1" w:after="100" w:afterAutospacing="1" w:line="500" w:lineRule="exact"/>
      <w:ind w:firstLine="560" w:firstLineChars="200"/>
      <w:jc w:val="center"/>
      <w:textAlignment w:val="baseline"/>
    </w:pPr>
    <w:rPr>
      <w:rFonts w:hint="eastAsia" w:ascii="楷体_GB2312" w:hAnsi="宋体" w:eastAsia="楷体_GB2312"/>
      <w:kern w:val="0"/>
      <w:sz w:val="28"/>
      <w:szCs w:val="28"/>
    </w:rPr>
  </w:style>
  <w:style w:type="paragraph" w:customStyle="1" w:styleId="97">
    <w:name w:val="正文首行缩进1"/>
    <w:basedOn w:val="3"/>
    <w:next w:val="98"/>
    <w:qFormat/>
    <w:uiPriority w:val="0"/>
    <w:pPr>
      <w:spacing w:line="360" w:lineRule="auto"/>
      <w:ind w:firstLine="309" w:firstLineChars="100"/>
      <w:outlineLvl w:val="0"/>
    </w:pPr>
    <w:rPr>
      <w:bCs/>
      <w:color w:val="000000"/>
      <w:kern w:val="28"/>
      <w:szCs w:val="21"/>
    </w:rPr>
  </w:style>
  <w:style w:type="paragraph" w:customStyle="1" w:styleId="98">
    <w:name w:val="正文首行缩进 21"/>
    <w:basedOn w:val="99"/>
    <w:qFormat/>
    <w:uiPriority w:val="0"/>
    <w:pPr>
      <w:overflowPunct w:val="0"/>
      <w:adjustRightInd w:val="0"/>
      <w:spacing w:line="500" w:lineRule="exact"/>
      <w:ind w:firstLine="420" w:firstLineChars="200"/>
      <w:textAlignment w:val="baseline"/>
    </w:pPr>
    <w:rPr>
      <w:rFonts w:eastAsia="仿宋_GB2312"/>
      <w:kern w:val="28"/>
      <w:sz w:val="28"/>
    </w:rPr>
  </w:style>
  <w:style w:type="paragraph" w:customStyle="1" w:styleId="99">
    <w:name w:val="正文文本缩进1"/>
    <w:basedOn w:val="1"/>
    <w:next w:val="100"/>
    <w:qFormat/>
    <w:uiPriority w:val="0"/>
    <w:pPr>
      <w:spacing w:after="120"/>
      <w:ind w:left="420" w:leftChars="200"/>
    </w:pPr>
  </w:style>
  <w:style w:type="paragraph" w:customStyle="1" w:styleId="100">
    <w:name w:val="寄信人地址1"/>
    <w:basedOn w:val="1"/>
    <w:qFormat/>
    <w:uiPriority w:val="0"/>
    <w:pPr>
      <w:snapToGrid w:val="0"/>
    </w:pPr>
    <w:rPr>
      <w:rFonts w:ascii="Arial" w:hAnsi="Arial"/>
    </w:rPr>
  </w:style>
  <w:style w:type="paragraph" w:customStyle="1" w:styleId="101">
    <w:name w:val="XW悬挂正文"/>
    <w:basedOn w:val="64"/>
    <w:qFormat/>
    <w:uiPriority w:val="0"/>
    <w:pPr>
      <w:snapToGrid/>
      <w:spacing w:line="360" w:lineRule="auto"/>
      <w:ind w:left="1474" w:hanging="340" w:firstLineChars="0"/>
    </w:pPr>
    <w:rPr>
      <w:rFonts w:hAnsi="宋体"/>
      <w:sz w:val="24"/>
      <w:szCs w:val="20"/>
    </w:rPr>
  </w:style>
  <w:style w:type="paragraph" w:customStyle="1" w:styleId="102">
    <w:name w:val="样式 小四 两端对齐 首行缩进:  0.85 厘米 行距: 1.5 倍行距 Char"/>
    <w:basedOn w:val="1"/>
    <w:qFormat/>
    <w:uiPriority w:val="0"/>
    <w:pPr>
      <w:widowControl/>
      <w:overflowPunct w:val="0"/>
      <w:adjustRightInd w:val="0"/>
      <w:spacing w:line="360" w:lineRule="auto"/>
      <w:ind w:firstLine="482" w:firstLineChars="200"/>
      <w:textAlignment w:val="baseline"/>
    </w:pPr>
    <w:rPr>
      <w:rFonts w:eastAsia="仿宋_GB2312"/>
      <w:kern w:val="0"/>
      <w:sz w:val="24"/>
      <w:szCs w:val="20"/>
    </w:rPr>
  </w:style>
  <w:style w:type="paragraph" w:customStyle="1" w:styleId="103">
    <w:name w:val="xl42"/>
    <w:basedOn w:val="1"/>
    <w:qFormat/>
    <w:uiPriority w:val="0"/>
    <w:pPr>
      <w:widowControl/>
      <w:pBdr>
        <w:top w:val="single" w:color="auto" w:sz="8" w:space="0"/>
        <w:left w:val="single" w:color="auto" w:sz="4" w:space="0"/>
        <w:right w:val="single" w:color="auto" w:sz="8"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04">
    <w:name w:val="济渡池桥正文"/>
    <w:qFormat/>
    <w:uiPriority w:val="0"/>
    <w:pPr>
      <w:spacing w:line="360" w:lineRule="auto"/>
      <w:ind w:firstLine="536" w:firstLineChars="200"/>
    </w:pPr>
    <w:rPr>
      <w:rFonts w:ascii="Times New Roman" w:hAnsi="Times New Roman" w:eastAsia="宋体" w:cs="Times New Roman"/>
      <w:color w:val="000000"/>
      <w:spacing w:val="-6"/>
      <w:sz w:val="28"/>
      <w:szCs w:val="28"/>
      <w:lang w:val="en-US" w:eastAsia="zh-CN" w:bidi="ar-SA"/>
    </w:rPr>
  </w:style>
  <w:style w:type="paragraph" w:customStyle="1" w:styleId="105">
    <w:name w:val="xl26"/>
    <w:basedOn w:val="1"/>
    <w:qFormat/>
    <w:uiPriority w:val="0"/>
    <w:pPr>
      <w:widowControl/>
      <w:pBdr>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106">
    <w:name w:val="84"/>
    <w:basedOn w:val="60"/>
    <w:next w:val="11"/>
    <w:qFormat/>
    <w:uiPriority w:val="0"/>
    <w:rPr>
      <w:rFonts w:eastAsia="黑体"/>
      <w:kern w:val="0"/>
    </w:rPr>
  </w:style>
  <w:style w:type="paragraph" w:customStyle="1" w:styleId="107">
    <w:name w:val="xl35"/>
    <w:basedOn w:val="1"/>
    <w:qFormat/>
    <w:uiPriority w:val="0"/>
    <w:pPr>
      <w:widowControl/>
      <w:pBdr>
        <w:top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08">
    <w:name w:val="font5"/>
    <w:basedOn w:val="1"/>
    <w:link w:val="253"/>
    <w:qFormat/>
    <w:uiPriority w:val="0"/>
    <w:pPr>
      <w:widowControl/>
      <w:spacing w:before="100" w:beforeAutospacing="1" w:after="100" w:afterAutospacing="1"/>
      <w:jc w:val="left"/>
    </w:pPr>
    <w:rPr>
      <w:rFonts w:ascii="宋体" w:hAnsi="宋体" w:cs="黑体"/>
      <w:sz w:val="24"/>
    </w:rPr>
  </w:style>
  <w:style w:type="paragraph" w:customStyle="1" w:styleId="109">
    <w:name w:val="xl38"/>
    <w:basedOn w:val="1"/>
    <w:qFormat/>
    <w:uiPriority w:val="0"/>
    <w:pPr>
      <w:widowControl/>
      <w:pBdr>
        <w:top w:val="single" w:color="auto" w:sz="8" w:space="0"/>
        <w:left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10">
    <w:name w:val="条款正文（三级标题）"/>
    <w:basedOn w:val="10"/>
    <w:qFormat/>
    <w:uiPriority w:val="0"/>
    <w:pPr>
      <w:tabs>
        <w:tab w:val="left" w:pos="720"/>
      </w:tabs>
      <w:autoSpaceDE w:val="0"/>
      <w:autoSpaceDN w:val="0"/>
      <w:adjustRightInd w:val="0"/>
      <w:spacing w:before="0" w:after="0" w:line="360" w:lineRule="auto"/>
      <w:ind w:firstLine="416" w:firstLineChars="198"/>
    </w:pPr>
    <w:rPr>
      <w:rFonts w:ascii="Times New Roman"/>
      <w:b w:val="0"/>
      <w:bCs w:val="0"/>
      <w:color w:val="000000"/>
      <w:kern w:val="24"/>
      <w:sz w:val="21"/>
      <w:szCs w:val="20"/>
    </w:rPr>
  </w:style>
  <w:style w:type="paragraph" w:customStyle="1" w:styleId="111">
    <w:name w:val="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12">
    <w:name w:val="表格2"/>
    <w:basedOn w:val="1"/>
    <w:qFormat/>
    <w:uiPriority w:val="0"/>
    <w:pPr>
      <w:adjustRightInd w:val="0"/>
      <w:spacing w:before="60" w:after="60"/>
      <w:jc w:val="center"/>
    </w:pPr>
    <w:rPr>
      <w:rFonts w:ascii="宋体"/>
      <w:color w:val="000000"/>
      <w:kern w:val="0"/>
      <w:sz w:val="24"/>
      <w:szCs w:val="20"/>
    </w:rPr>
  </w:style>
  <w:style w:type="paragraph" w:customStyle="1" w:styleId="113">
    <w:name w:val="xl24"/>
    <w:basedOn w:val="1"/>
    <w:qFormat/>
    <w:uiPriority w:val="0"/>
    <w:pPr>
      <w:widowControl/>
      <w:pBdr>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114">
    <w:name w:val="图标题"/>
    <w:basedOn w:val="1"/>
    <w:link w:val="221"/>
    <w:qFormat/>
    <w:uiPriority w:val="0"/>
    <w:pPr>
      <w:jc w:val="center"/>
    </w:pPr>
    <w:rPr>
      <w:rFonts w:ascii="Calibri" w:hAnsi="Calibri" w:eastAsia="黑体" w:cs="黑体"/>
      <w:sz w:val="24"/>
    </w:rPr>
  </w:style>
  <w:style w:type="paragraph" w:customStyle="1" w:styleId="115">
    <w:name w:val="Table Paragraph"/>
    <w:basedOn w:val="1"/>
    <w:qFormat/>
    <w:uiPriority w:val="1"/>
    <w:rPr>
      <w:rFonts w:ascii="宋体" w:hAnsi="宋体" w:cs="宋体"/>
    </w:rPr>
  </w:style>
  <w:style w:type="paragraph" w:customStyle="1" w:styleId="116">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17">
    <w:name w:val="Char2"/>
    <w:basedOn w:val="1"/>
    <w:qFormat/>
    <w:uiPriority w:val="0"/>
    <w:pPr>
      <w:snapToGrid w:val="0"/>
      <w:spacing w:line="360" w:lineRule="auto"/>
      <w:ind w:firstLine="200" w:firstLineChars="200"/>
    </w:pPr>
    <w:rPr>
      <w:rFonts w:ascii="Arial" w:hAnsi="Arial" w:eastAsia="黑体"/>
      <w:szCs w:val="21"/>
    </w:rPr>
  </w:style>
  <w:style w:type="paragraph" w:customStyle="1" w:styleId="118">
    <w:name w:val="WPS Plain"/>
    <w:qFormat/>
    <w:uiPriority w:val="0"/>
    <w:rPr>
      <w:rFonts w:ascii="Times New Roman" w:hAnsi="Times New Roman" w:eastAsia="宋体" w:cs="Times New Roman"/>
      <w:lang w:val="en-US" w:eastAsia="zh-CN" w:bidi="ar-SA"/>
    </w:rPr>
  </w:style>
  <w:style w:type="paragraph" w:customStyle="1" w:styleId="119">
    <w:name w:val="font8"/>
    <w:basedOn w:val="1"/>
    <w:qFormat/>
    <w:uiPriority w:val="0"/>
    <w:pPr>
      <w:widowControl/>
      <w:overflowPunct w:val="0"/>
      <w:adjustRightInd w:val="0"/>
      <w:spacing w:before="100" w:beforeAutospacing="1" w:after="100" w:afterAutospacing="1" w:line="500" w:lineRule="exact"/>
      <w:ind w:firstLine="560" w:firstLineChars="200"/>
      <w:jc w:val="left"/>
      <w:textAlignment w:val="baseline"/>
    </w:pPr>
    <w:rPr>
      <w:rFonts w:eastAsia="仿宋_GB2312"/>
      <w:color w:val="000000"/>
      <w:kern w:val="0"/>
      <w:sz w:val="24"/>
      <w:szCs w:val="28"/>
    </w:rPr>
  </w:style>
  <w:style w:type="paragraph" w:customStyle="1" w:styleId="120">
    <w:name w:val="地质报告文本"/>
    <w:basedOn w:val="1"/>
    <w:link w:val="251"/>
    <w:qFormat/>
    <w:uiPriority w:val="0"/>
    <w:pPr>
      <w:spacing w:line="500" w:lineRule="exact"/>
      <w:ind w:firstLine="200" w:firstLineChars="200"/>
      <w:jc w:val="left"/>
    </w:pPr>
    <w:rPr>
      <w:rFonts w:ascii="Calibri" w:hAnsi="Calibri" w:eastAsia="仿宋_GB2312" w:cs="黑体"/>
      <w:sz w:val="28"/>
      <w:szCs w:val="28"/>
    </w:rPr>
  </w:style>
  <w:style w:type="paragraph" w:customStyle="1" w:styleId="121">
    <w:name w:val="font6"/>
    <w:basedOn w:val="1"/>
    <w:qFormat/>
    <w:uiPriority w:val="0"/>
    <w:pPr>
      <w:widowControl/>
      <w:overflowPunct w:val="0"/>
      <w:adjustRightInd w:val="0"/>
      <w:spacing w:before="100" w:beforeAutospacing="1" w:after="100" w:afterAutospacing="1" w:line="500" w:lineRule="exact"/>
      <w:ind w:firstLine="560" w:firstLineChars="200"/>
      <w:jc w:val="left"/>
      <w:textAlignment w:val="baseline"/>
    </w:pPr>
    <w:rPr>
      <w:rFonts w:hint="eastAsia" w:ascii="楷体_GB2312" w:hAnsi="宋体" w:eastAsia="楷体_GB2312"/>
      <w:kern w:val="0"/>
      <w:sz w:val="28"/>
      <w:szCs w:val="21"/>
    </w:rPr>
  </w:style>
  <w:style w:type="paragraph" w:customStyle="1" w:styleId="122">
    <w:name w:val="样式４"/>
    <w:basedOn w:val="11"/>
    <w:next w:val="11"/>
    <w:qFormat/>
    <w:uiPriority w:val="0"/>
    <w:pPr>
      <w:overflowPunct w:val="0"/>
      <w:adjustRightInd w:val="0"/>
      <w:spacing w:before="120" w:after="120" w:line="120" w:lineRule="exact"/>
      <w:ind w:firstLine="560" w:firstLineChars="200"/>
      <w:jc w:val="left"/>
      <w:textAlignment w:val="baseline"/>
    </w:pPr>
    <w:rPr>
      <w:rFonts w:cs="Arial"/>
      <w:bCs w:val="0"/>
      <w:kern w:val="28"/>
    </w:rPr>
  </w:style>
  <w:style w:type="paragraph" w:customStyle="1" w:styleId="123">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124">
    <w:name w:val="样式82"/>
    <w:basedOn w:val="9"/>
    <w:qFormat/>
    <w:uiPriority w:val="0"/>
    <w:pPr>
      <w:spacing w:before="240" w:after="240" w:line="500" w:lineRule="exact"/>
    </w:pPr>
    <w:rPr>
      <w:b w:val="0"/>
    </w:rPr>
  </w:style>
  <w:style w:type="paragraph" w:customStyle="1" w:styleId="125">
    <w:name w:val="样式93"/>
    <w:basedOn w:val="1"/>
    <w:qFormat/>
    <w:uiPriority w:val="0"/>
    <w:pPr>
      <w:overflowPunct w:val="0"/>
      <w:adjustRightInd w:val="0"/>
      <w:spacing w:before="120" w:after="120" w:line="500" w:lineRule="exact"/>
      <w:jc w:val="left"/>
      <w:textAlignment w:val="baseline"/>
      <w:outlineLvl w:val="2"/>
    </w:pPr>
    <w:rPr>
      <w:rFonts w:eastAsia="黑体"/>
      <w:sz w:val="30"/>
      <w:szCs w:val="28"/>
    </w:rPr>
  </w:style>
  <w:style w:type="paragraph" w:customStyle="1" w:styleId="126">
    <w:name w:val="cjk"/>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标题3"/>
    <w:basedOn w:val="128"/>
    <w:link w:val="260"/>
    <w:qFormat/>
    <w:uiPriority w:val="0"/>
    <w:pPr>
      <w:snapToGrid/>
      <w:spacing w:before="0" w:after="0" w:line="360" w:lineRule="auto"/>
      <w:jc w:val="both"/>
      <w:outlineLvl w:val="0"/>
    </w:pPr>
    <w:rPr>
      <w:rFonts w:ascii="Calibri" w:hAnsi="Calibri" w:eastAsia="宋体"/>
      <w:b/>
      <w:kern w:val="44"/>
    </w:rPr>
  </w:style>
  <w:style w:type="paragraph" w:customStyle="1" w:styleId="128">
    <w:name w:val="标题2"/>
    <w:basedOn w:val="9"/>
    <w:next w:val="1"/>
    <w:link w:val="240"/>
    <w:qFormat/>
    <w:uiPriority w:val="0"/>
    <w:pPr>
      <w:snapToGrid w:val="0"/>
      <w:spacing w:before="120" w:after="120" w:line="240" w:lineRule="auto"/>
      <w:jc w:val="left"/>
    </w:pPr>
    <w:rPr>
      <w:rFonts w:cs="黑体"/>
      <w:b w:val="0"/>
      <w:bCs w:val="0"/>
      <w:sz w:val="21"/>
      <w:szCs w:val="21"/>
    </w:rPr>
  </w:style>
  <w:style w:type="paragraph" w:customStyle="1" w:styleId="129">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Char Char Char"/>
    <w:basedOn w:val="1"/>
    <w:qFormat/>
    <w:uiPriority w:val="0"/>
    <w:pPr>
      <w:snapToGrid w:val="0"/>
      <w:spacing w:line="360" w:lineRule="auto"/>
      <w:ind w:firstLine="200" w:firstLineChars="200"/>
    </w:pPr>
    <w:rPr>
      <w:rFonts w:eastAsia="仿宋_GB2312"/>
      <w:sz w:val="24"/>
    </w:rPr>
  </w:style>
  <w:style w:type="paragraph" w:customStyle="1" w:styleId="131">
    <w:name w:val="xl33"/>
    <w:basedOn w:val="1"/>
    <w:qFormat/>
    <w:uiPriority w:val="0"/>
    <w:pPr>
      <w:widowControl/>
      <w:pBdr>
        <w:top w:val="single" w:color="auto" w:sz="8" w:space="0"/>
        <w:bottom w:val="single" w:color="auto" w:sz="4" w:space="0"/>
        <w:right w:val="single" w:color="auto" w:sz="8" w:space="0"/>
      </w:pBdr>
      <w:overflowPunct w:val="0"/>
      <w:adjustRightInd w:val="0"/>
      <w:spacing w:before="100" w:beforeAutospacing="1" w:after="100" w:afterAutospacing="1" w:line="500" w:lineRule="exact"/>
      <w:ind w:firstLine="560" w:firstLineChars="200"/>
      <w:jc w:val="center"/>
      <w:textAlignment w:val="baseline"/>
    </w:pPr>
    <w:rPr>
      <w:rFonts w:hint="eastAsia" w:ascii="楷体_GB2312" w:hAnsi="宋体" w:eastAsia="楷体_GB2312"/>
      <w:kern w:val="0"/>
      <w:sz w:val="28"/>
      <w:szCs w:val="28"/>
    </w:rPr>
  </w:style>
  <w:style w:type="paragraph" w:customStyle="1" w:styleId="132">
    <w:name w:val="标题4"/>
    <w:basedOn w:val="1"/>
    <w:qFormat/>
    <w:uiPriority w:val="0"/>
    <w:pPr>
      <w:ind w:firstLine="422" w:firstLineChars="200"/>
    </w:pPr>
    <w:rPr>
      <w:rFonts w:hAnsi="宋体"/>
      <w:szCs w:val="21"/>
    </w:rPr>
  </w:style>
  <w:style w:type="paragraph" w:customStyle="1" w:styleId="133">
    <w:name w:val="样式83"/>
    <w:basedOn w:val="10"/>
    <w:qFormat/>
    <w:uiPriority w:val="0"/>
    <w:pPr>
      <w:spacing w:line="500" w:lineRule="exact"/>
    </w:pPr>
    <w:rPr>
      <w:rFonts w:ascii="仿宋_GB2312" w:eastAsia="仿宋_GB2312"/>
      <w:b w:val="0"/>
      <w:sz w:val="28"/>
      <w:szCs w:val="28"/>
    </w:rPr>
  </w:style>
  <w:style w:type="paragraph" w:customStyle="1" w:styleId="134">
    <w:name w:val="公式"/>
    <w:basedOn w:val="19"/>
    <w:next w:val="135"/>
    <w:qFormat/>
    <w:uiPriority w:val="0"/>
    <w:pPr>
      <w:adjustRightInd w:val="0"/>
      <w:spacing w:line="360" w:lineRule="auto"/>
      <w:ind w:firstLine="555"/>
      <w:textAlignment w:val="baseline"/>
    </w:pPr>
    <w:rPr>
      <w:rFonts w:eastAsia="仿宋_GB2312"/>
      <w:kern w:val="28"/>
      <w:sz w:val="28"/>
      <w:szCs w:val="20"/>
    </w:rPr>
  </w:style>
  <w:style w:type="paragraph" w:customStyle="1" w:styleId="135">
    <w:name w:val="公式注释"/>
    <w:basedOn w:val="31"/>
    <w:qFormat/>
    <w:uiPriority w:val="0"/>
    <w:pPr>
      <w:overflowPunct w:val="0"/>
      <w:adjustRightInd w:val="0"/>
      <w:spacing w:after="0" w:line="500" w:lineRule="exact"/>
      <w:ind w:left="0" w:leftChars="0"/>
      <w:textAlignment w:val="baseline"/>
    </w:pPr>
    <w:rPr>
      <w:rFonts w:eastAsia="仿宋_GB2312"/>
      <w:kern w:val="28"/>
      <w:sz w:val="28"/>
      <w:szCs w:val="20"/>
    </w:rPr>
  </w:style>
  <w:style w:type="paragraph" w:customStyle="1" w:styleId="136">
    <w:name w:val="样式1"/>
    <w:basedOn w:val="1"/>
    <w:qFormat/>
    <w:uiPriority w:val="0"/>
    <w:pPr>
      <w:tabs>
        <w:tab w:val="left" w:pos="885"/>
      </w:tabs>
      <w:spacing w:line="240" w:lineRule="atLeast"/>
      <w:ind w:left="3540" w:right="735" w:rightChars="350" w:hanging="360" w:firstLineChars="200"/>
    </w:pPr>
    <w:rPr>
      <w:rFonts w:ascii="宋体" w:hAnsi="宋体"/>
      <w:color w:val="000000"/>
      <w:szCs w:val="21"/>
    </w:rPr>
  </w:style>
  <w:style w:type="paragraph" w:customStyle="1" w:styleId="137">
    <w:name w:val="xl39"/>
    <w:basedOn w:val="1"/>
    <w:qFormat/>
    <w:uiPriority w:val="0"/>
    <w:pPr>
      <w:widowControl/>
      <w:pBdr>
        <w:left w:val="single" w:color="auto" w:sz="8"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38">
    <w:name w:val="样式 图名 + 首行缩进:  2 字符"/>
    <w:basedOn w:val="1"/>
    <w:qFormat/>
    <w:uiPriority w:val="0"/>
    <w:pPr>
      <w:overflowPunct w:val="0"/>
      <w:adjustRightInd w:val="0"/>
      <w:spacing w:line="360" w:lineRule="auto"/>
      <w:ind w:firstLine="560" w:firstLineChars="200"/>
      <w:jc w:val="center"/>
      <w:textAlignment w:val="baseline"/>
    </w:pPr>
    <w:rPr>
      <w:rFonts w:ascii="黑体" w:hAnsi="宋体" w:eastAsia="黑体" w:cs="宋体"/>
      <w:kern w:val="28"/>
      <w:sz w:val="28"/>
      <w:szCs w:val="20"/>
    </w:rPr>
  </w:style>
  <w:style w:type="paragraph" w:customStyle="1" w:styleId="139">
    <w:name w:val="xl58"/>
    <w:basedOn w:val="1"/>
    <w:qFormat/>
    <w:uiPriority w:val="0"/>
    <w:pPr>
      <w:widowControl/>
      <w:pBdr>
        <w:left w:val="single" w:color="auto" w:sz="8"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40">
    <w:name w:val="Char Char Char1"/>
    <w:basedOn w:val="1"/>
    <w:qFormat/>
    <w:uiPriority w:val="0"/>
    <w:pPr>
      <w:overflowPunct w:val="0"/>
      <w:adjustRightInd w:val="0"/>
      <w:snapToGrid w:val="0"/>
      <w:spacing w:line="360" w:lineRule="auto"/>
      <w:ind w:firstLine="200" w:firstLineChars="200"/>
      <w:textAlignment w:val="baseline"/>
    </w:pPr>
    <w:rPr>
      <w:rFonts w:eastAsia="仿宋_GB2312"/>
      <w:kern w:val="28"/>
      <w:sz w:val="24"/>
      <w:szCs w:val="28"/>
    </w:rPr>
  </w:style>
  <w:style w:type="paragraph" w:customStyle="1" w:styleId="141">
    <w:name w:val="首页脚样式"/>
    <w:basedOn w:val="33"/>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142">
    <w:name w:val="p0"/>
    <w:basedOn w:val="1"/>
    <w:qFormat/>
    <w:uiPriority w:val="0"/>
    <w:pPr>
      <w:widowControl/>
      <w:jc w:val="left"/>
    </w:pPr>
    <w:rPr>
      <w:kern w:val="0"/>
      <w:szCs w:val="21"/>
    </w:rPr>
  </w:style>
  <w:style w:type="paragraph" w:customStyle="1" w:styleId="143">
    <w:name w:val="11"/>
    <w:basedOn w:val="19"/>
    <w:link w:val="255"/>
    <w:qFormat/>
    <w:uiPriority w:val="0"/>
    <w:pPr>
      <w:spacing w:line="500" w:lineRule="atLeast"/>
      <w:ind w:firstLine="200"/>
    </w:pPr>
    <w:rPr>
      <w:rFonts w:eastAsia="仿宋_GB2312"/>
      <w:sz w:val="28"/>
      <w:szCs w:val="22"/>
    </w:rPr>
  </w:style>
  <w:style w:type="paragraph" w:customStyle="1" w:styleId="144">
    <w:name w:val="xl54"/>
    <w:basedOn w:val="1"/>
    <w:qFormat/>
    <w:uiPriority w:val="0"/>
    <w:pPr>
      <w:widowControl/>
      <w:pBdr>
        <w:bottom w:val="single" w:color="auto" w:sz="8" w:space="0"/>
      </w:pBdr>
      <w:overflowPunct w:val="0"/>
      <w:adjustRightInd w:val="0"/>
      <w:spacing w:before="100" w:beforeAutospacing="1" w:after="100" w:afterAutospacing="1" w:line="500" w:lineRule="exact"/>
      <w:ind w:firstLine="560" w:firstLineChars="200"/>
      <w:jc w:val="center"/>
      <w:textAlignment w:val="baseline"/>
    </w:pPr>
    <w:rPr>
      <w:rFonts w:ascii="宋体" w:hAnsi="宋体" w:eastAsia="仿宋_GB2312"/>
      <w:kern w:val="0"/>
      <w:sz w:val="24"/>
      <w:szCs w:val="28"/>
    </w:rPr>
  </w:style>
  <w:style w:type="paragraph" w:customStyle="1" w:styleId="145">
    <w:name w:val="表名"/>
    <w:basedOn w:val="1"/>
    <w:qFormat/>
    <w:uiPriority w:val="0"/>
    <w:pPr>
      <w:overflowPunct w:val="0"/>
      <w:adjustRightInd w:val="0"/>
      <w:spacing w:line="500" w:lineRule="exact"/>
      <w:ind w:firstLine="560" w:firstLineChars="200"/>
      <w:jc w:val="center"/>
      <w:textAlignment w:val="baseline"/>
    </w:pPr>
    <w:rPr>
      <w:rFonts w:eastAsia="黑体"/>
      <w:kern w:val="28"/>
      <w:sz w:val="24"/>
      <w:szCs w:val="28"/>
    </w:rPr>
  </w:style>
  <w:style w:type="paragraph" w:customStyle="1" w:styleId="146">
    <w:name w:val="样式 样式 四号 首行缩进:  1.01 厘米 行距: 最小值 23 磅 + 首行缩进:  2 字符"/>
    <w:basedOn w:val="1"/>
    <w:qFormat/>
    <w:uiPriority w:val="0"/>
    <w:pPr>
      <w:tabs>
        <w:tab w:val="left" w:pos="390"/>
      </w:tabs>
      <w:spacing w:line="500" w:lineRule="exact"/>
      <w:ind w:firstLine="200" w:firstLineChars="200"/>
    </w:pPr>
    <w:rPr>
      <w:rFonts w:eastAsia="仿宋_GB2312" w:cs="宋体"/>
      <w:sz w:val="28"/>
      <w:szCs w:val="20"/>
    </w:rPr>
  </w:style>
  <w:style w:type="paragraph" w:customStyle="1" w:styleId="147">
    <w:name w:val="xl37"/>
    <w:basedOn w:val="1"/>
    <w:qFormat/>
    <w:uiPriority w:val="0"/>
    <w:pPr>
      <w:widowControl/>
      <w:pBdr>
        <w:top w:val="single" w:color="auto" w:sz="4"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48">
    <w:name w:val="正文格式"/>
    <w:basedOn w:val="1"/>
    <w:qFormat/>
    <w:uiPriority w:val="0"/>
    <w:pPr>
      <w:overflowPunct w:val="0"/>
      <w:adjustRightInd w:val="0"/>
      <w:spacing w:line="560" w:lineRule="exact"/>
      <w:ind w:firstLine="480" w:firstLineChars="200"/>
      <w:textAlignment w:val="baseline"/>
    </w:pPr>
    <w:rPr>
      <w:rFonts w:ascii="宋体" w:hAnsi="宋体" w:eastAsia="仿宋_GB2312"/>
      <w:kern w:val="28"/>
      <w:sz w:val="24"/>
      <w:szCs w:val="28"/>
    </w:rPr>
  </w:style>
  <w:style w:type="paragraph" w:customStyle="1" w:styleId="149">
    <w:name w:val="正文2"/>
    <w:basedOn w:val="1"/>
    <w:next w:val="1"/>
    <w:qFormat/>
    <w:uiPriority w:val="0"/>
    <w:pPr>
      <w:tabs>
        <w:tab w:val="left" w:pos="4025"/>
      </w:tabs>
      <w:spacing w:line="360" w:lineRule="auto"/>
      <w:ind w:left="4025" w:hanging="425" w:firstLineChars="200"/>
    </w:pPr>
    <w:rPr>
      <w:rFonts w:hAnsi="宋体"/>
      <w:sz w:val="24"/>
      <w:szCs w:val="20"/>
    </w:rPr>
  </w:style>
  <w:style w:type="paragraph" w:customStyle="1" w:styleId="150">
    <w:name w:val="正文1"/>
    <w:basedOn w:val="1"/>
    <w:link w:val="248"/>
    <w:qFormat/>
    <w:uiPriority w:val="0"/>
    <w:pPr>
      <w:spacing w:line="540" w:lineRule="exact"/>
      <w:ind w:firstLine="560" w:firstLineChars="200"/>
      <w:jc w:val="left"/>
    </w:pPr>
    <w:rPr>
      <w:rFonts w:ascii="Calibri" w:hAnsi="宋体" w:cs="黑体"/>
      <w:sz w:val="28"/>
      <w:szCs w:val="28"/>
    </w:rPr>
  </w:style>
  <w:style w:type="paragraph" w:customStyle="1" w:styleId="151">
    <w:name w:val="文"/>
    <w:basedOn w:val="28"/>
    <w:qFormat/>
    <w:uiPriority w:val="0"/>
    <w:pPr>
      <w:tabs>
        <w:tab w:val="left" w:pos="1134"/>
      </w:tabs>
      <w:spacing w:before="20" w:after="20" w:line="300" w:lineRule="auto"/>
      <w:ind w:left="1134"/>
      <w:jc w:val="center"/>
    </w:pPr>
    <w:rPr>
      <w:rFonts w:ascii="Arial" w:hAnsi="Arial"/>
      <w:b/>
      <w:color w:val="000000"/>
    </w:rPr>
  </w:style>
  <w:style w:type="paragraph" w:customStyle="1" w:styleId="152">
    <w:name w:val="图片"/>
    <w:basedOn w:val="1"/>
    <w:qFormat/>
    <w:uiPriority w:val="0"/>
    <w:pPr>
      <w:jc w:val="center"/>
    </w:pPr>
    <w:rPr>
      <w:rFonts w:eastAsia="仿宋_GB2312"/>
      <w:sz w:val="28"/>
      <w:szCs w:val="28"/>
    </w:rPr>
  </w:style>
  <w:style w:type="paragraph" w:customStyle="1" w:styleId="153">
    <w:name w:val="Char Char1 Char Char Char Char Char Char Char"/>
    <w:basedOn w:val="1"/>
    <w:qFormat/>
    <w:uiPriority w:val="0"/>
    <w:pPr>
      <w:spacing w:line="360" w:lineRule="auto"/>
      <w:ind w:firstLine="200" w:firstLineChars="200"/>
    </w:pPr>
    <w:rPr>
      <w:szCs w:val="20"/>
    </w:rPr>
  </w:style>
  <w:style w:type="paragraph" w:customStyle="1" w:styleId="154">
    <w:name w:val="Char1"/>
    <w:basedOn w:val="1"/>
    <w:qFormat/>
    <w:uiPriority w:val="0"/>
    <w:pPr>
      <w:overflowPunct w:val="0"/>
      <w:adjustRightInd w:val="0"/>
      <w:snapToGrid w:val="0"/>
      <w:spacing w:line="500" w:lineRule="exact"/>
      <w:ind w:firstLine="2660" w:firstLineChars="950"/>
      <w:textAlignment w:val="baseline"/>
    </w:pPr>
    <w:rPr>
      <w:rFonts w:ascii="黑体" w:eastAsia="黑体"/>
      <w:kern w:val="28"/>
      <w:sz w:val="28"/>
      <w:szCs w:val="28"/>
    </w:rPr>
  </w:style>
  <w:style w:type="paragraph" w:customStyle="1" w:styleId="155">
    <w:name w:val="无间隔1"/>
    <w:basedOn w:val="1"/>
    <w:qFormat/>
    <w:uiPriority w:val="0"/>
    <w:pPr>
      <w:spacing w:line="400" w:lineRule="exact"/>
    </w:pPr>
    <w:rPr>
      <w:sz w:val="24"/>
    </w:rPr>
  </w:style>
  <w:style w:type="paragraph" w:customStyle="1" w:styleId="156">
    <w:name w:val="样式2"/>
    <w:basedOn w:val="9"/>
    <w:qFormat/>
    <w:uiPriority w:val="0"/>
    <w:rPr>
      <w:rFonts w:eastAsia="宋体"/>
      <w:b w:val="0"/>
      <w:sz w:val="36"/>
    </w:rPr>
  </w:style>
  <w:style w:type="paragraph" w:customStyle="1" w:styleId="157">
    <w:name w:val="XW标题4"/>
    <w:basedOn w:val="64"/>
    <w:next w:val="64"/>
    <w:qFormat/>
    <w:uiPriority w:val="0"/>
    <w:pPr>
      <w:snapToGrid/>
      <w:spacing w:before="200" w:line="360" w:lineRule="auto"/>
      <w:ind w:firstLine="0" w:firstLineChars="0"/>
      <w:outlineLvl w:val="3"/>
    </w:pPr>
    <w:rPr>
      <w:rFonts w:hAnsi="宋体" w:eastAsia="仿宋_GB2312"/>
      <w:b/>
      <w:sz w:val="28"/>
      <w:szCs w:val="20"/>
    </w:rPr>
  </w:style>
  <w:style w:type="paragraph" w:customStyle="1" w:styleId="158">
    <w:name w:val="样式 宋体 小四 两端对齐 行距: 1.5 倍行距 首行缩进:  2 字符"/>
    <w:basedOn w:val="1"/>
    <w:qFormat/>
    <w:uiPriority w:val="0"/>
    <w:pPr>
      <w:widowControl/>
      <w:overflowPunct w:val="0"/>
      <w:adjustRightInd w:val="0"/>
      <w:spacing w:line="360" w:lineRule="auto"/>
      <w:ind w:firstLine="480" w:firstLineChars="200"/>
      <w:textAlignment w:val="baseline"/>
    </w:pPr>
    <w:rPr>
      <w:rFonts w:eastAsia="仿宋_GB2312"/>
      <w:kern w:val="0"/>
      <w:sz w:val="24"/>
      <w:szCs w:val="28"/>
    </w:rPr>
  </w:style>
  <w:style w:type="paragraph" w:customStyle="1" w:styleId="159">
    <w:name w:val="Char Char Char Char Char Char Char Char Char 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60">
    <w:name w:val="Char Char3 Char Char"/>
    <w:basedOn w:val="1"/>
    <w:qFormat/>
    <w:uiPriority w:val="0"/>
    <w:pPr>
      <w:autoSpaceDE w:val="0"/>
      <w:autoSpaceDN w:val="0"/>
      <w:adjustRightInd w:val="0"/>
      <w:jc w:val="left"/>
    </w:pPr>
    <w:rPr>
      <w:rFonts w:ascii="宋体"/>
      <w:kern w:val="0"/>
      <w:sz w:val="24"/>
      <w:szCs w:val="20"/>
    </w:rPr>
  </w:style>
  <w:style w:type="paragraph" w:customStyle="1" w:styleId="161">
    <w:name w:val="样式91"/>
    <w:basedOn w:val="1"/>
    <w:qFormat/>
    <w:uiPriority w:val="0"/>
    <w:pPr>
      <w:overflowPunct w:val="0"/>
      <w:adjustRightInd w:val="0"/>
      <w:spacing w:before="360" w:after="360" w:line="500" w:lineRule="exact"/>
      <w:jc w:val="left"/>
      <w:textAlignment w:val="baseline"/>
      <w:outlineLvl w:val="0"/>
    </w:pPr>
    <w:rPr>
      <w:rFonts w:eastAsia="黑体"/>
      <w:sz w:val="36"/>
      <w:szCs w:val="28"/>
    </w:rPr>
  </w:style>
  <w:style w:type="paragraph" w:customStyle="1" w:styleId="162">
    <w:name w:val="xl59"/>
    <w:basedOn w:val="1"/>
    <w:qFormat/>
    <w:uiPriority w:val="0"/>
    <w:pPr>
      <w:widowControl/>
      <w:pBdr>
        <w:top w:val="single" w:color="auto" w:sz="8" w:space="0"/>
        <w:left w:val="single" w:color="auto" w:sz="4" w:space="0"/>
        <w:bottom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63">
    <w:name w:val="纯文本1"/>
    <w:basedOn w:val="1"/>
    <w:qFormat/>
    <w:uiPriority w:val="0"/>
    <w:rPr>
      <w:rFonts w:ascii="Courier New" w:hAnsi="Courier New"/>
    </w:rPr>
  </w:style>
  <w:style w:type="paragraph" w:customStyle="1" w:styleId="164">
    <w:name w:val="xl28"/>
    <w:basedOn w:val="1"/>
    <w:qFormat/>
    <w:uiPriority w:val="0"/>
    <w:pPr>
      <w:widowControl/>
      <w:pBdr>
        <w:top w:val="single" w:color="auto" w:sz="8" w:space="0"/>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165">
    <w:name w:val="样式81"/>
    <w:basedOn w:val="8"/>
    <w:qFormat/>
    <w:uiPriority w:val="0"/>
    <w:pPr>
      <w:spacing w:before="360" w:after="360" w:line="500" w:lineRule="exact"/>
    </w:pPr>
    <w:rPr>
      <w:rFonts w:ascii="黑体" w:eastAsia="黑体"/>
      <w:b w:val="0"/>
    </w:rPr>
  </w:style>
  <w:style w:type="paragraph" w:customStyle="1" w:styleId="166">
    <w:name w:val="样式 (中文) 仿宋_GB2312 四号"/>
    <w:basedOn w:val="1"/>
    <w:qFormat/>
    <w:uiPriority w:val="0"/>
    <w:pPr>
      <w:spacing w:line="500" w:lineRule="exact"/>
      <w:ind w:firstLine="200" w:firstLineChars="200"/>
    </w:pPr>
    <w:rPr>
      <w:rFonts w:eastAsia="仿宋_GB2312"/>
      <w:sz w:val="28"/>
      <w:szCs w:val="28"/>
    </w:rPr>
  </w:style>
  <w:style w:type="paragraph" w:customStyle="1" w:styleId="167">
    <w:name w:val="Char11"/>
    <w:basedOn w:val="1"/>
    <w:qFormat/>
    <w:uiPriority w:val="0"/>
    <w:pPr>
      <w:snapToGrid w:val="0"/>
      <w:spacing w:line="360" w:lineRule="auto"/>
      <w:ind w:firstLine="200" w:firstLineChars="200"/>
    </w:pPr>
    <w:rPr>
      <w:rFonts w:eastAsia="仿宋_GB2312"/>
      <w:sz w:val="24"/>
    </w:rPr>
  </w:style>
  <w:style w:type="paragraph" w:customStyle="1" w:styleId="168">
    <w:name w:val="xl44"/>
    <w:basedOn w:val="1"/>
    <w:qFormat/>
    <w:uiPriority w:val="0"/>
    <w:pPr>
      <w:widowControl/>
      <w:pBdr>
        <w:top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69">
    <w:name w:val="xl60"/>
    <w:basedOn w:val="1"/>
    <w:qFormat/>
    <w:uiPriority w:val="0"/>
    <w:pPr>
      <w:widowControl/>
      <w:pBdr>
        <w:top w:val="single" w:color="auto" w:sz="8" w:space="0"/>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70">
    <w:name w:val="样式 样式 样式 样式 样式 宋体 黑色 行距: 固定值 25 磅 + (西文) 宋体 首行缩进:  2 字符 + (西文) 宋..."/>
    <w:basedOn w:val="171"/>
    <w:qFormat/>
    <w:uiPriority w:val="0"/>
    <w:pPr>
      <w:ind w:firstLine="560"/>
    </w:pPr>
  </w:style>
  <w:style w:type="paragraph" w:customStyle="1" w:styleId="171">
    <w:name w:val="样式 样式 样式 样式 宋体 黑色 行距: 固定值 25 磅 + (西文) 宋体 首行缩进:  2 字符 + (西文) 宋体 +..."/>
    <w:basedOn w:val="65"/>
    <w:qFormat/>
    <w:uiPriority w:val="0"/>
    <w:pPr>
      <w:ind w:firstLine="480"/>
    </w:pPr>
  </w:style>
  <w:style w:type="paragraph" w:customStyle="1" w:styleId="172">
    <w:name w:val="xl34"/>
    <w:basedOn w:val="1"/>
    <w:qFormat/>
    <w:uiPriority w:val="0"/>
    <w:pPr>
      <w:widowControl/>
      <w:pBdr>
        <w:bottom w:val="single" w:color="auto" w:sz="8" w:space="0"/>
        <w:right w:val="single" w:color="auto" w:sz="8" w:space="0"/>
      </w:pBdr>
      <w:overflowPunct w:val="0"/>
      <w:adjustRightInd w:val="0"/>
      <w:spacing w:before="100" w:beforeAutospacing="1" w:after="100" w:afterAutospacing="1" w:line="500" w:lineRule="exact"/>
      <w:ind w:firstLine="560" w:firstLineChars="200"/>
      <w:jc w:val="center"/>
      <w:textAlignment w:val="baseline"/>
    </w:pPr>
    <w:rPr>
      <w:rFonts w:hint="eastAsia" w:ascii="楷体_GB2312" w:hAnsi="宋体" w:eastAsia="楷体_GB2312"/>
      <w:kern w:val="0"/>
      <w:sz w:val="28"/>
      <w:szCs w:val="28"/>
    </w:rPr>
  </w:style>
  <w:style w:type="paragraph" w:customStyle="1" w:styleId="173">
    <w:name w:val="表格"/>
    <w:basedOn w:val="1"/>
    <w:qFormat/>
    <w:uiPriority w:val="0"/>
    <w:pPr>
      <w:jc w:val="center"/>
      <w:textAlignment w:val="center"/>
    </w:pPr>
    <w:rPr>
      <w:rFonts w:ascii="华文细黑" w:hAnsi="华文细黑"/>
      <w:kern w:val="0"/>
      <w:szCs w:val="20"/>
    </w:rPr>
  </w:style>
  <w:style w:type="paragraph" w:customStyle="1" w:styleId="174">
    <w:name w:val="xl48"/>
    <w:basedOn w:val="1"/>
    <w:qFormat/>
    <w:uiPriority w:val="0"/>
    <w:pPr>
      <w:widowControl/>
      <w:pBdr>
        <w:top w:val="single" w:color="auto" w:sz="4" w:space="0"/>
        <w:left w:val="single" w:color="auto" w:sz="4"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175">
    <w:name w:val="表号"/>
    <w:basedOn w:val="1"/>
    <w:qFormat/>
    <w:uiPriority w:val="0"/>
    <w:pPr>
      <w:overflowPunct w:val="0"/>
      <w:adjustRightInd w:val="0"/>
      <w:spacing w:line="240" w:lineRule="exact"/>
      <w:ind w:firstLine="560" w:firstLineChars="200"/>
      <w:jc w:val="center"/>
      <w:textAlignment w:val="baseline"/>
    </w:pPr>
    <w:rPr>
      <w:rFonts w:eastAsia="仿宋_GB2312"/>
      <w:kern w:val="0"/>
      <w:sz w:val="18"/>
      <w:szCs w:val="18"/>
    </w:rPr>
  </w:style>
  <w:style w:type="paragraph" w:customStyle="1" w:styleId="176">
    <w:name w:val="xl55"/>
    <w:basedOn w:val="1"/>
    <w:qFormat/>
    <w:uiPriority w:val="0"/>
    <w:pPr>
      <w:widowControl/>
      <w:pBdr>
        <w:top w:val="single" w:color="auto" w:sz="8" w:space="0"/>
        <w:left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77">
    <w:name w:val="xl52"/>
    <w:basedOn w:val="1"/>
    <w:qFormat/>
    <w:uiPriority w:val="0"/>
    <w:pPr>
      <w:widowControl/>
      <w:pBdr>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eastAsia="仿宋_GB2312"/>
      <w:color w:val="000000"/>
      <w:kern w:val="0"/>
      <w:sz w:val="28"/>
      <w:szCs w:val="21"/>
    </w:rPr>
  </w:style>
  <w:style w:type="paragraph" w:customStyle="1" w:styleId="178">
    <w:name w:val="基准标题"/>
    <w:basedOn w:val="3"/>
    <w:next w:val="3"/>
    <w:qFormat/>
    <w:uiPriority w:val="0"/>
    <w:pPr>
      <w:widowControl/>
      <w:tabs>
        <w:tab w:val="left" w:pos="6000"/>
        <w:tab w:val="left" w:pos="7680"/>
      </w:tabs>
      <w:spacing w:after="0" w:line="360" w:lineRule="auto"/>
      <w:ind w:firstLine="422" w:firstLineChars="200"/>
      <w:jc w:val="left"/>
    </w:pPr>
    <w:rPr>
      <w:rFonts w:ascii="Garamond" w:hAnsi="Garamond"/>
      <w:kern w:val="0"/>
      <w:szCs w:val="20"/>
    </w:rPr>
  </w:style>
  <w:style w:type="paragraph" w:customStyle="1" w:styleId="179">
    <w:name w:val="xl53"/>
    <w:basedOn w:val="1"/>
    <w:qFormat/>
    <w:uiPriority w:val="0"/>
    <w:pPr>
      <w:widowControl/>
      <w:pBdr>
        <w:bottom w:val="single" w:color="auto" w:sz="8" w:space="0"/>
      </w:pBdr>
      <w:overflowPunct w:val="0"/>
      <w:adjustRightInd w:val="0"/>
      <w:spacing w:before="100" w:beforeAutospacing="1" w:after="100" w:afterAutospacing="1" w:line="500" w:lineRule="exact"/>
      <w:ind w:firstLine="560" w:firstLineChars="200"/>
      <w:jc w:val="center"/>
      <w:textAlignment w:val="baseline"/>
    </w:pPr>
    <w:rPr>
      <w:rFonts w:ascii="宋体" w:hAnsi="宋体" w:eastAsia="仿宋_GB2312"/>
      <w:kern w:val="0"/>
      <w:sz w:val="28"/>
      <w:szCs w:val="28"/>
    </w:rPr>
  </w:style>
  <w:style w:type="paragraph" w:customStyle="1" w:styleId="180">
    <w:name w:val="样式 正文首行缩进:  2 字符 + 首行缩进:  2 字符"/>
    <w:basedOn w:val="1"/>
    <w:qFormat/>
    <w:uiPriority w:val="0"/>
    <w:pPr>
      <w:overflowPunct w:val="0"/>
      <w:adjustRightInd w:val="0"/>
      <w:spacing w:line="540" w:lineRule="exact"/>
      <w:ind w:firstLine="560" w:firstLineChars="200"/>
      <w:textAlignment w:val="baseline"/>
    </w:pPr>
    <w:rPr>
      <w:rFonts w:eastAsia="华文仿宋" w:cs="宋体"/>
      <w:kern w:val="28"/>
      <w:sz w:val="28"/>
      <w:szCs w:val="20"/>
    </w:rPr>
  </w:style>
  <w:style w:type="paragraph" w:customStyle="1" w:styleId="181">
    <w:name w:val="5正文"/>
    <w:basedOn w:val="1"/>
    <w:qFormat/>
    <w:uiPriority w:val="0"/>
    <w:pPr>
      <w:autoSpaceDE w:val="0"/>
      <w:autoSpaceDN w:val="0"/>
      <w:spacing w:line="500" w:lineRule="exact"/>
      <w:ind w:firstLine="200" w:firstLineChars="200"/>
    </w:pPr>
    <w:rPr>
      <w:rFonts w:eastAsia="仿宋_GB2312"/>
      <w:color w:val="000000"/>
      <w:sz w:val="28"/>
      <w:szCs w:val="28"/>
    </w:rPr>
  </w:style>
  <w:style w:type="paragraph" w:customStyle="1" w:styleId="182">
    <w:name w:val="xl36"/>
    <w:basedOn w:val="1"/>
    <w:qFormat/>
    <w:uiPriority w:val="0"/>
    <w:pPr>
      <w:widowControl/>
      <w:pBdr>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8"/>
    </w:rPr>
  </w:style>
  <w:style w:type="paragraph" w:customStyle="1" w:styleId="183">
    <w:name w:val="简单回函地址"/>
    <w:basedOn w:val="1"/>
    <w:qFormat/>
    <w:uiPriority w:val="0"/>
  </w:style>
  <w:style w:type="paragraph" w:customStyle="1" w:styleId="18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85">
    <w:name w:val="xl56"/>
    <w:basedOn w:val="1"/>
    <w:qFormat/>
    <w:uiPriority w:val="0"/>
    <w:pPr>
      <w:widowControl/>
      <w:pBdr>
        <w:left w:val="single" w:color="auto" w:sz="4"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86">
    <w:name w:val="样式4"/>
    <w:basedOn w:val="10"/>
    <w:qFormat/>
    <w:uiPriority w:val="0"/>
    <w:rPr>
      <w:b w:val="0"/>
      <w:sz w:val="30"/>
    </w:rPr>
  </w:style>
  <w:style w:type="paragraph" w:customStyle="1" w:styleId="187">
    <w:name w:val="样式"/>
    <w:basedOn w:val="34"/>
    <w:qFormat/>
    <w:uiPriority w:val="0"/>
    <w:pPr>
      <w:pBdr>
        <w:bottom w:val="none" w:color="auto" w:sz="0" w:space="0"/>
      </w:pBdr>
      <w:overflowPunct w:val="0"/>
      <w:adjustRightInd w:val="0"/>
      <w:spacing w:line="240" w:lineRule="exact"/>
      <w:ind w:firstLine="560" w:firstLineChars="200"/>
      <w:textAlignment w:val="baseline"/>
    </w:pPr>
    <w:rPr>
      <w:rFonts w:ascii="宋体" w:cs="宋体"/>
      <w:kern w:val="28"/>
      <w:szCs w:val="20"/>
    </w:rPr>
  </w:style>
  <w:style w:type="paragraph" w:customStyle="1" w:styleId="188">
    <w:name w:val="正文3"/>
    <w:basedOn w:val="1"/>
    <w:next w:val="1"/>
    <w:qFormat/>
    <w:uiPriority w:val="0"/>
    <w:pPr>
      <w:tabs>
        <w:tab w:val="left" w:pos="1276"/>
      </w:tabs>
      <w:autoSpaceDE w:val="0"/>
      <w:autoSpaceDN w:val="0"/>
      <w:adjustRightInd w:val="0"/>
      <w:spacing w:line="360" w:lineRule="auto"/>
      <w:ind w:left="1276" w:hanging="425" w:firstLineChars="200"/>
    </w:pPr>
    <w:rPr>
      <w:rFonts w:hAnsi="宋体"/>
      <w:spacing w:val="4"/>
      <w:sz w:val="24"/>
      <w:szCs w:val="20"/>
    </w:rPr>
  </w:style>
  <w:style w:type="paragraph" w:customStyle="1" w:styleId="189">
    <w:name w:val="xl57"/>
    <w:basedOn w:val="1"/>
    <w:qFormat/>
    <w:uiPriority w:val="0"/>
    <w:pPr>
      <w:widowControl/>
      <w:pBdr>
        <w:top w:val="single" w:color="auto" w:sz="8" w:space="0"/>
        <w:left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hint="eastAsia" w:ascii="楷体_GB2312" w:hAnsi="宋体" w:eastAsia="楷体_GB2312"/>
      <w:kern w:val="0"/>
      <w:sz w:val="28"/>
      <w:szCs w:val="21"/>
    </w:rPr>
  </w:style>
  <w:style w:type="paragraph" w:customStyle="1" w:styleId="190">
    <w:name w:val="样式 标题 2 + Times New Roman 四号 非加粗 段前: 5 磅 段后: 0 磅 行距: 固定值 20..."/>
    <w:basedOn w:val="9"/>
    <w:qFormat/>
    <w:uiPriority w:val="0"/>
    <w:pPr>
      <w:spacing w:before="100" w:after="0" w:line="400" w:lineRule="exact"/>
    </w:pPr>
    <w:rPr>
      <w:rFonts w:ascii="Times New Roman" w:hAnsi="Times New Roman" w:cs="宋体"/>
      <w:b w:val="0"/>
      <w:bCs w:val="0"/>
      <w:sz w:val="28"/>
      <w:szCs w:val="20"/>
    </w:rPr>
  </w:style>
  <w:style w:type="paragraph" w:customStyle="1" w:styleId="191">
    <w:name w:val="标题２"/>
    <w:basedOn w:val="9"/>
    <w:next w:val="9"/>
    <w:qFormat/>
    <w:uiPriority w:val="0"/>
    <w:pPr>
      <w:overflowPunct w:val="0"/>
      <w:adjustRightInd w:val="0"/>
      <w:spacing w:before="240" w:after="240" w:line="500" w:lineRule="exact"/>
      <w:ind w:firstLine="560" w:firstLineChars="200"/>
      <w:jc w:val="left"/>
      <w:textAlignment w:val="baseline"/>
    </w:pPr>
    <w:rPr>
      <w:rFonts w:cs="Arial"/>
      <w:bCs w:val="0"/>
      <w:kern w:val="28"/>
    </w:rPr>
  </w:style>
  <w:style w:type="paragraph" w:customStyle="1" w:styleId="192">
    <w:name w:val="样式3"/>
    <w:basedOn w:val="9"/>
    <w:qFormat/>
    <w:uiPriority w:val="0"/>
    <w:rPr>
      <w:rFonts w:eastAsia="宋体"/>
      <w:b w:val="0"/>
      <w:sz w:val="36"/>
    </w:rPr>
  </w:style>
  <w:style w:type="paragraph" w:customStyle="1" w:styleId="193">
    <w:name w:val="样式 pp仿宋_GB2312 四号 + 首行缩进:  2 字符"/>
    <w:basedOn w:val="1"/>
    <w:qFormat/>
    <w:uiPriority w:val="0"/>
    <w:pPr>
      <w:overflowPunct w:val="0"/>
      <w:autoSpaceDE w:val="0"/>
      <w:autoSpaceDN w:val="0"/>
      <w:adjustRightInd w:val="0"/>
      <w:spacing w:line="500" w:lineRule="exact"/>
      <w:ind w:firstLine="560" w:firstLineChars="200"/>
      <w:textAlignment w:val="baseline"/>
    </w:pPr>
    <w:rPr>
      <w:rFonts w:eastAsia="仿宋_GB2312"/>
      <w:kern w:val="0"/>
      <w:sz w:val="28"/>
      <w:szCs w:val="28"/>
    </w:rPr>
  </w:style>
  <w:style w:type="paragraph" w:customStyle="1" w:styleId="194">
    <w:name w:val="表头"/>
    <w:basedOn w:val="1"/>
    <w:link w:val="276"/>
    <w:qFormat/>
    <w:uiPriority w:val="0"/>
    <w:pPr>
      <w:overflowPunct w:val="0"/>
      <w:adjustRightInd w:val="0"/>
      <w:spacing w:afterLines="50" w:line="500" w:lineRule="exact"/>
      <w:ind w:firstLine="560" w:firstLineChars="200"/>
      <w:jc w:val="center"/>
      <w:textAlignment w:val="baseline"/>
    </w:pPr>
    <w:rPr>
      <w:rFonts w:ascii="Calibri" w:hAnsi="Calibri" w:eastAsia="黑体" w:cs="黑体"/>
      <w:kern w:val="28"/>
      <w:sz w:val="24"/>
      <w:szCs w:val="22"/>
    </w:rPr>
  </w:style>
  <w:style w:type="paragraph" w:customStyle="1" w:styleId="195">
    <w:name w:val="表标题"/>
    <w:basedOn w:val="1"/>
    <w:link w:val="274"/>
    <w:qFormat/>
    <w:uiPriority w:val="0"/>
    <w:pPr>
      <w:spacing w:line="500" w:lineRule="exact"/>
      <w:jc w:val="center"/>
    </w:pPr>
    <w:rPr>
      <w:rFonts w:ascii="Calibri" w:hAnsi="Calibri" w:eastAsia="黑体" w:cs="黑体"/>
      <w:sz w:val="24"/>
      <w:szCs w:val="21"/>
    </w:rPr>
  </w:style>
  <w:style w:type="paragraph" w:customStyle="1" w:styleId="196">
    <w:name w:val="1"/>
    <w:basedOn w:val="1"/>
    <w:next w:val="1"/>
    <w:qFormat/>
    <w:uiPriority w:val="0"/>
  </w:style>
  <w:style w:type="paragraph" w:customStyle="1" w:styleId="197">
    <w:name w:val="XW标题3"/>
    <w:basedOn w:val="64"/>
    <w:next w:val="64"/>
    <w:qFormat/>
    <w:uiPriority w:val="0"/>
    <w:pPr>
      <w:snapToGrid/>
      <w:spacing w:before="200" w:line="360" w:lineRule="auto"/>
      <w:ind w:firstLine="0" w:firstLineChars="0"/>
      <w:outlineLvl w:val="2"/>
    </w:pPr>
    <w:rPr>
      <w:rFonts w:ascii="Arial" w:hAnsi="Arial" w:eastAsia="黑体"/>
      <w:sz w:val="30"/>
      <w:szCs w:val="20"/>
    </w:rPr>
  </w:style>
  <w:style w:type="paragraph" w:customStyle="1" w:styleId="198">
    <w:name w:val="样式92"/>
    <w:basedOn w:val="1"/>
    <w:qFormat/>
    <w:uiPriority w:val="0"/>
    <w:pPr>
      <w:overflowPunct w:val="0"/>
      <w:adjustRightInd w:val="0"/>
      <w:spacing w:before="240" w:after="240" w:line="500" w:lineRule="exact"/>
      <w:jc w:val="left"/>
      <w:textAlignment w:val="baseline"/>
      <w:outlineLvl w:val="1"/>
    </w:pPr>
    <w:rPr>
      <w:rFonts w:eastAsia="黑体"/>
      <w:sz w:val="32"/>
      <w:szCs w:val="30"/>
    </w:rPr>
  </w:style>
  <w:style w:type="paragraph" w:customStyle="1" w:styleId="199">
    <w:name w:val="列出段落1"/>
    <w:basedOn w:val="1"/>
    <w:qFormat/>
    <w:uiPriority w:val="0"/>
    <w:pPr>
      <w:ind w:firstLine="420" w:firstLineChars="200"/>
    </w:pPr>
    <w:rPr>
      <w:szCs w:val="20"/>
    </w:rPr>
  </w:style>
  <w:style w:type="paragraph" w:customStyle="1" w:styleId="2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01">
    <w:name w:val="样式94"/>
    <w:basedOn w:val="1"/>
    <w:qFormat/>
    <w:uiPriority w:val="0"/>
    <w:pPr>
      <w:overflowPunct w:val="0"/>
      <w:adjustRightInd w:val="0"/>
      <w:spacing w:line="500" w:lineRule="exact"/>
      <w:jc w:val="left"/>
      <w:textAlignment w:val="baseline"/>
      <w:outlineLvl w:val="3"/>
    </w:pPr>
    <w:rPr>
      <w:rFonts w:eastAsia="黑体"/>
      <w:sz w:val="28"/>
      <w:szCs w:val="28"/>
    </w:rPr>
  </w:style>
  <w:style w:type="paragraph" w:customStyle="1" w:styleId="202">
    <w:name w:val="表名、表号"/>
    <w:basedOn w:val="1"/>
    <w:qFormat/>
    <w:uiPriority w:val="0"/>
    <w:pPr>
      <w:overflowPunct w:val="0"/>
      <w:adjustRightInd w:val="0"/>
      <w:spacing w:line="500" w:lineRule="exact"/>
      <w:ind w:firstLine="560" w:firstLineChars="200"/>
      <w:jc w:val="left"/>
      <w:textAlignment w:val="baseline"/>
    </w:pPr>
    <w:rPr>
      <w:rFonts w:eastAsia="黑体"/>
      <w:kern w:val="28"/>
      <w:sz w:val="24"/>
      <w:szCs w:val="28"/>
    </w:rPr>
  </w:style>
  <w:style w:type="paragraph" w:customStyle="1" w:styleId="203">
    <w:name w:val="XW标题2"/>
    <w:basedOn w:val="64"/>
    <w:next w:val="64"/>
    <w:qFormat/>
    <w:uiPriority w:val="0"/>
    <w:pPr>
      <w:snapToGrid/>
      <w:spacing w:before="300" w:line="360" w:lineRule="auto"/>
      <w:ind w:firstLine="0" w:firstLineChars="0"/>
      <w:outlineLvl w:val="1"/>
    </w:pPr>
    <w:rPr>
      <w:rFonts w:ascii="Arial" w:hAnsi="Arial" w:eastAsia="黑体"/>
      <w:sz w:val="32"/>
      <w:szCs w:val="20"/>
    </w:rPr>
  </w:style>
  <w:style w:type="paragraph" w:customStyle="1" w:styleId="204">
    <w:name w:val="xl49"/>
    <w:basedOn w:val="1"/>
    <w:qFormat/>
    <w:uiPriority w:val="0"/>
    <w:pPr>
      <w:widowControl/>
      <w:pBdr>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205">
    <w:name w:val="奇页脚样式"/>
    <w:basedOn w:val="33"/>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206">
    <w:name w:val="正文小标题"/>
    <w:basedOn w:val="1"/>
    <w:next w:val="3"/>
    <w:qFormat/>
    <w:uiPriority w:val="0"/>
    <w:pPr>
      <w:tabs>
        <w:tab w:val="left" w:pos="735"/>
        <w:tab w:val="left" w:pos="780"/>
      </w:tabs>
      <w:overflowPunct w:val="0"/>
      <w:autoSpaceDE w:val="0"/>
      <w:autoSpaceDN w:val="0"/>
      <w:adjustRightInd w:val="0"/>
      <w:ind w:firstLine="420" w:firstLineChars="200"/>
    </w:pPr>
    <w:rPr>
      <w:rFonts w:hAnsi="宋体"/>
      <w:kern w:val="0"/>
      <w:szCs w:val="20"/>
    </w:rPr>
  </w:style>
  <w:style w:type="paragraph" w:customStyle="1" w:styleId="207">
    <w:name w:val="xl32"/>
    <w:basedOn w:val="1"/>
    <w:qFormat/>
    <w:uiPriority w:val="0"/>
    <w:pPr>
      <w:widowControl/>
      <w:pBdr>
        <w:right w:val="single" w:color="auto" w:sz="8" w:space="0"/>
      </w:pBdr>
      <w:overflowPunct w:val="0"/>
      <w:adjustRightInd w:val="0"/>
      <w:spacing w:before="100" w:beforeAutospacing="1" w:after="100" w:afterAutospacing="1" w:line="500" w:lineRule="exact"/>
      <w:ind w:firstLine="560" w:firstLineChars="200"/>
      <w:jc w:val="center"/>
      <w:textAlignment w:val="baseline"/>
    </w:pPr>
    <w:rPr>
      <w:rFonts w:hint="eastAsia" w:ascii="楷体_GB2312" w:hAnsi="宋体" w:eastAsia="楷体_GB2312"/>
      <w:kern w:val="0"/>
      <w:sz w:val="28"/>
      <w:szCs w:val="28"/>
    </w:rPr>
  </w:style>
  <w:style w:type="paragraph" w:customStyle="1" w:styleId="208">
    <w:name w:val="XW图名表名"/>
    <w:basedOn w:val="1"/>
    <w:qFormat/>
    <w:uiPriority w:val="0"/>
    <w:pPr>
      <w:adjustRightInd w:val="0"/>
      <w:spacing w:before="120" w:after="60"/>
      <w:ind w:firstLine="422" w:firstLineChars="200"/>
      <w:jc w:val="center"/>
    </w:pPr>
    <w:rPr>
      <w:rFonts w:hAnsi="宋体" w:eastAsia="黑体"/>
      <w:kern w:val="0"/>
      <w:sz w:val="24"/>
      <w:szCs w:val="20"/>
    </w:rPr>
  </w:style>
  <w:style w:type="paragraph" w:customStyle="1" w:styleId="209">
    <w:name w:val="xl29"/>
    <w:basedOn w:val="1"/>
    <w:qFormat/>
    <w:uiPriority w:val="0"/>
    <w:pPr>
      <w:widowControl/>
      <w:pBdr>
        <w:left w:val="single" w:color="auto" w:sz="8" w:space="0"/>
        <w:bottom w:val="single" w:color="auto" w:sz="8" w:space="0"/>
        <w:right w:val="single" w:color="auto" w:sz="4" w:space="0"/>
      </w:pBdr>
      <w:overflowPunct w:val="0"/>
      <w:adjustRightInd w:val="0"/>
      <w:spacing w:before="100" w:beforeAutospacing="1" w:after="100" w:afterAutospacing="1" w:line="500" w:lineRule="exact"/>
      <w:ind w:firstLine="560" w:firstLineChars="200"/>
      <w:jc w:val="center"/>
      <w:textAlignment w:val="baseline"/>
    </w:pPr>
    <w:rPr>
      <w:rFonts w:eastAsia="仿宋_GB2312"/>
      <w:kern w:val="0"/>
      <w:sz w:val="28"/>
      <w:szCs w:val="28"/>
    </w:rPr>
  </w:style>
  <w:style w:type="paragraph" w:customStyle="1" w:styleId="210">
    <w:name w:val="xl4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11">
    <w:name w:val="Char"/>
    <w:basedOn w:val="1"/>
    <w:qFormat/>
    <w:uiPriority w:val="0"/>
    <w:pPr>
      <w:snapToGrid w:val="0"/>
      <w:spacing w:line="360" w:lineRule="auto"/>
      <w:ind w:firstLine="200" w:firstLineChars="200"/>
    </w:pPr>
    <w:rPr>
      <w:rFonts w:eastAsia="仿宋_GB2312"/>
      <w:sz w:val="24"/>
    </w:rPr>
  </w:style>
  <w:style w:type="paragraph" w:customStyle="1" w:styleId="212">
    <w:name w:val="xl50"/>
    <w:basedOn w:val="1"/>
    <w:qFormat/>
    <w:uiPriority w:val="0"/>
    <w:pPr>
      <w:widowControl/>
      <w:pBdr>
        <w:bottom w:val="single" w:color="auto" w:sz="4" w:space="0"/>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eastAsia="仿宋_GB2312"/>
      <w:color w:val="000000"/>
      <w:kern w:val="0"/>
      <w:sz w:val="28"/>
      <w:szCs w:val="21"/>
    </w:rPr>
  </w:style>
  <w:style w:type="paragraph" w:customStyle="1" w:styleId="213">
    <w:name w:val="样式 首行缩进:  1 字符"/>
    <w:basedOn w:val="1"/>
    <w:qFormat/>
    <w:uiPriority w:val="0"/>
    <w:pPr>
      <w:tabs>
        <w:tab w:val="left" w:pos="567"/>
      </w:tabs>
      <w:adjustRightInd w:val="0"/>
      <w:snapToGrid w:val="0"/>
      <w:spacing w:line="500" w:lineRule="atLeast"/>
      <w:ind w:firstLine="560" w:firstLineChars="200"/>
    </w:pPr>
    <w:rPr>
      <w:rFonts w:eastAsia="仿宋_GB2312" w:cs="宋体"/>
      <w:color w:val="000000"/>
      <w:sz w:val="28"/>
      <w:szCs w:val="28"/>
    </w:rPr>
  </w:style>
  <w:style w:type="paragraph" w:customStyle="1" w:styleId="214">
    <w:name w:val="样式5"/>
    <w:basedOn w:val="10"/>
    <w:qFormat/>
    <w:uiPriority w:val="0"/>
    <w:rPr>
      <w:sz w:val="28"/>
    </w:rPr>
  </w:style>
  <w:style w:type="paragraph" w:customStyle="1" w:styleId="215">
    <w:name w:val="xl51"/>
    <w:basedOn w:val="1"/>
    <w:qFormat/>
    <w:uiPriority w:val="0"/>
    <w:pPr>
      <w:widowControl/>
      <w:pBdr>
        <w:right w:val="single" w:color="auto" w:sz="4" w:space="0"/>
      </w:pBdr>
      <w:overflowPunct w:val="0"/>
      <w:adjustRightInd w:val="0"/>
      <w:spacing w:before="100" w:beforeAutospacing="1" w:after="100" w:afterAutospacing="1" w:line="500" w:lineRule="exact"/>
      <w:ind w:firstLine="560" w:firstLineChars="200"/>
      <w:jc w:val="center"/>
      <w:textAlignment w:val="center"/>
    </w:pPr>
    <w:rPr>
      <w:rFonts w:eastAsia="仿宋_GB2312"/>
      <w:color w:val="000000"/>
      <w:kern w:val="0"/>
      <w:sz w:val="28"/>
      <w:szCs w:val="21"/>
    </w:rPr>
  </w:style>
  <w:style w:type="paragraph" w:customStyle="1" w:styleId="216">
    <w:name w:val="金安桥正文"/>
    <w:basedOn w:val="6"/>
    <w:qFormat/>
    <w:uiPriority w:val="0"/>
    <w:pPr>
      <w:adjustRightInd w:val="0"/>
      <w:spacing w:after="0" w:line="300" w:lineRule="auto"/>
      <w:ind w:left="0" w:leftChars="0" w:firstLine="200" w:firstLineChars="200"/>
      <w:jc w:val="left"/>
    </w:pPr>
    <w:rPr>
      <w:kern w:val="0"/>
      <w:sz w:val="24"/>
      <w:szCs w:val="20"/>
    </w:rPr>
  </w:style>
  <w:style w:type="paragraph" w:customStyle="1" w:styleId="217">
    <w:name w:val="表头1"/>
    <w:basedOn w:val="1"/>
    <w:link w:val="258"/>
    <w:qFormat/>
    <w:uiPriority w:val="0"/>
    <w:pPr>
      <w:spacing w:line="540" w:lineRule="exact"/>
      <w:ind w:firstLine="480" w:firstLineChars="200"/>
    </w:pPr>
    <w:rPr>
      <w:rFonts w:ascii="Calibri" w:hAnsi="Calibri" w:eastAsia="黑体" w:cs="黑体"/>
      <w:sz w:val="24"/>
    </w:rPr>
  </w:style>
  <w:style w:type="paragraph" w:customStyle="1" w:styleId="218">
    <w:name w:val="样式 标题 3 + 首行缩进:  2 字符"/>
    <w:basedOn w:val="10"/>
    <w:qFormat/>
    <w:uiPriority w:val="0"/>
    <w:pPr>
      <w:overflowPunct w:val="0"/>
      <w:adjustRightInd w:val="0"/>
      <w:snapToGrid w:val="0"/>
      <w:spacing w:before="260" w:after="260" w:line="413" w:lineRule="auto"/>
      <w:ind w:firstLine="643" w:firstLineChars="200"/>
      <w:textAlignment w:val="baseline"/>
    </w:pPr>
    <w:rPr>
      <w:rFonts w:ascii="Times New Roman" w:eastAsia="黑体" w:cs="宋体"/>
      <w:kern w:val="28"/>
      <w:szCs w:val="20"/>
    </w:rPr>
  </w:style>
  <w:style w:type="character" w:customStyle="1" w:styleId="219">
    <w:name w:val="Char Char20"/>
    <w:qFormat/>
    <w:uiPriority w:val="0"/>
    <w:rPr>
      <w:rFonts w:ascii="Arial" w:hAnsi="Arial" w:eastAsia="黑体" w:cs="Arial"/>
      <w:b/>
      <w:bCs/>
      <w:kern w:val="28"/>
      <w:sz w:val="36"/>
      <w:szCs w:val="32"/>
    </w:rPr>
  </w:style>
  <w:style w:type="character" w:customStyle="1" w:styleId="220">
    <w:name w:val="地质报告文本 Char Char"/>
    <w:qFormat/>
    <w:uiPriority w:val="0"/>
    <w:rPr>
      <w:rFonts w:eastAsia="仿宋_GB2312" w:cs="仿宋_GB2312"/>
      <w:kern w:val="2"/>
      <w:sz w:val="28"/>
      <w:szCs w:val="28"/>
    </w:rPr>
  </w:style>
  <w:style w:type="character" w:customStyle="1" w:styleId="221">
    <w:name w:val="图标题 Char Char"/>
    <w:link w:val="114"/>
    <w:qFormat/>
    <w:uiPriority w:val="0"/>
    <w:rPr>
      <w:rFonts w:eastAsia="黑体"/>
      <w:sz w:val="24"/>
      <w:szCs w:val="24"/>
    </w:rPr>
  </w:style>
  <w:style w:type="character" w:customStyle="1" w:styleId="222">
    <w:name w:val="Char Char9"/>
    <w:qFormat/>
    <w:uiPriority w:val="0"/>
    <w:rPr>
      <w:rFonts w:ascii="宋体" w:hAnsi="Courier New" w:eastAsia="仿宋_GB2312" w:cs="Times New Roman"/>
      <w:kern w:val="28"/>
      <w:sz w:val="28"/>
      <w:szCs w:val="20"/>
    </w:rPr>
  </w:style>
  <w:style w:type="character" w:customStyle="1" w:styleId="223">
    <w:name w:val="纯文本 Char Char"/>
    <w:qFormat/>
    <w:uiPriority w:val="0"/>
    <w:rPr>
      <w:rFonts w:ascii="宋体" w:hAnsi="Courier New" w:eastAsia="宋体" w:cs="Courier New"/>
      <w:kern w:val="2"/>
      <w:sz w:val="21"/>
      <w:szCs w:val="21"/>
      <w:lang w:val="en-US" w:eastAsia="zh-CN" w:bidi="ar-SA"/>
    </w:rPr>
  </w:style>
  <w:style w:type="character" w:customStyle="1" w:styleId="224">
    <w:name w:val="样式 标题4 + 非加粗 Char"/>
    <w:qFormat/>
    <w:uiPriority w:val="0"/>
    <w:rPr>
      <w:rFonts w:eastAsia="宋体"/>
      <w:b/>
      <w:kern w:val="2"/>
      <w:sz w:val="24"/>
      <w:szCs w:val="24"/>
      <w:lang w:val="en-US" w:eastAsia="zh-CN" w:bidi="ar-SA"/>
    </w:rPr>
  </w:style>
  <w:style w:type="character" w:customStyle="1" w:styleId="225">
    <w:name w:val="样式 宋体 黑色 行距: 固定值 25 磅 Char Char"/>
    <w:link w:val="67"/>
    <w:qFormat/>
    <w:uiPriority w:val="0"/>
    <w:rPr>
      <w:rFonts w:eastAsia="仿宋_GB2312"/>
      <w:color w:val="000000"/>
      <w:kern w:val="28"/>
      <w:sz w:val="28"/>
    </w:rPr>
  </w:style>
  <w:style w:type="character" w:customStyle="1" w:styleId="226">
    <w:name w:val="批注文字 Char1"/>
    <w:link w:val="23"/>
    <w:semiHidden/>
    <w:qFormat/>
    <w:uiPriority w:val="99"/>
    <w:rPr>
      <w:rFonts w:ascii="Times New Roman" w:hAnsi="Times New Roman" w:eastAsia="宋体" w:cs="Times New Roman"/>
      <w:szCs w:val="24"/>
    </w:rPr>
  </w:style>
  <w:style w:type="character" w:customStyle="1" w:styleId="227">
    <w:name w:val="表头 Char Char Char"/>
    <w:qFormat/>
    <w:uiPriority w:val="0"/>
    <w:rPr>
      <w:rFonts w:eastAsia="黑体"/>
      <w:color w:val="FF0000"/>
      <w:kern w:val="2"/>
      <w:sz w:val="24"/>
    </w:rPr>
  </w:style>
  <w:style w:type="character" w:customStyle="1" w:styleId="228">
    <w:name w:val="标题 1 Char"/>
    <w:link w:val="8"/>
    <w:qFormat/>
    <w:uiPriority w:val="0"/>
    <w:rPr>
      <w:rFonts w:ascii="Times New Roman" w:hAnsi="Times New Roman" w:eastAsia="宋体" w:cs="Times New Roman"/>
      <w:b/>
      <w:bCs/>
      <w:kern w:val="44"/>
      <w:sz w:val="44"/>
      <w:szCs w:val="44"/>
    </w:rPr>
  </w:style>
  <w:style w:type="character" w:customStyle="1" w:styleId="229">
    <w:name w:val="样式 首行缩进:  2 字符 Char Char"/>
    <w:link w:val="87"/>
    <w:qFormat/>
    <w:uiPriority w:val="0"/>
    <w:rPr>
      <w:rFonts w:eastAsia="仿宋_GB2312"/>
      <w:sz w:val="28"/>
    </w:rPr>
  </w:style>
  <w:style w:type="character" w:customStyle="1" w:styleId="230">
    <w:name w:val="正文文本 3 Char"/>
    <w:link w:val="24"/>
    <w:qFormat/>
    <w:uiPriority w:val="0"/>
    <w:rPr>
      <w:rFonts w:ascii="宋体" w:hAnsi="Times New Roman" w:eastAsia="宋体" w:cs="Times New Roman"/>
      <w:sz w:val="24"/>
      <w:szCs w:val="20"/>
    </w:rPr>
  </w:style>
  <w:style w:type="character" w:customStyle="1" w:styleId="231">
    <w:name w:val="页脚 Char"/>
    <w:link w:val="33"/>
    <w:qFormat/>
    <w:uiPriority w:val="0"/>
    <w:rPr>
      <w:rFonts w:eastAsia="宋体"/>
      <w:sz w:val="18"/>
      <w:szCs w:val="18"/>
    </w:rPr>
  </w:style>
  <w:style w:type="character" w:customStyle="1" w:styleId="232">
    <w:name w:val="日期 Char1"/>
    <w:semiHidden/>
    <w:qFormat/>
    <w:uiPriority w:val="99"/>
    <w:rPr>
      <w:rFonts w:ascii="Times New Roman" w:hAnsi="Times New Roman" w:eastAsia="宋体" w:cs="Times New Roman"/>
      <w:szCs w:val="24"/>
    </w:rPr>
  </w:style>
  <w:style w:type="character" w:customStyle="1" w:styleId="233">
    <w:name w:val="表格文字 Char1"/>
    <w:link w:val="80"/>
    <w:qFormat/>
    <w:uiPriority w:val="0"/>
    <w:rPr>
      <w:rFonts w:eastAsia="宋体"/>
    </w:rPr>
  </w:style>
  <w:style w:type="character" w:customStyle="1" w:styleId="234">
    <w:name w:val="批注主题 Char"/>
    <w:link w:val="46"/>
    <w:qFormat/>
    <w:uiPriority w:val="0"/>
    <w:rPr>
      <w:rFonts w:ascii="Times New Roman" w:hAnsi="Times New Roman" w:eastAsia="仿宋_GB2312" w:cs="Times New Roman"/>
      <w:b/>
      <w:bCs/>
      <w:kern w:val="28"/>
      <w:sz w:val="28"/>
      <w:szCs w:val="28"/>
    </w:rPr>
  </w:style>
  <w:style w:type="character" w:customStyle="1" w:styleId="235">
    <w:name w:val="正文文本缩进 2 Char1"/>
    <w:semiHidden/>
    <w:qFormat/>
    <w:uiPriority w:val="99"/>
    <w:rPr>
      <w:rFonts w:ascii="Times New Roman" w:hAnsi="Times New Roman" w:eastAsia="宋体" w:cs="Times New Roman"/>
      <w:szCs w:val="24"/>
    </w:rPr>
  </w:style>
  <w:style w:type="character" w:customStyle="1" w:styleId="236">
    <w:name w:val="font161"/>
    <w:qFormat/>
    <w:uiPriority w:val="0"/>
    <w:rPr>
      <w:rFonts w:ascii="Arial" w:hAnsi="Arial" w:eastAsia="黑体"/>
      <w:b/>
      <w:bCs/>
      <w:kern w:val="2"/>
      <w:sz w:val="32"/>
      <w:szCs w:val="32"/>
      <w:lang w:val="en-US" w:eastAsia="zh-CN" w:bidi="ar-SA"/>
    </w:rPr>
  </w:style>
  <w:style w:type="character" w:customStyle="1" w:styleId="237">
    <w:name w:val="正文首行缩进 2 Char"/>
    <w:link w:val="5"/>
    <w:qFormat/>
    <w:uiPriority w:val="0"/>
    <w:rPr>
      <w:rFonts w:eastAsia="仿宋_GB2312"/>
      <w:kern w:val="28"/>
      <w:sz w:val="28"/>
      <w:szCs w:val="24"/>
    </w:rPr>
  </w:style>
  <w:style w:type="character" w:customStyle="1" w:styleId="238">
    <w:name w:val="样式 样式 样式 宋体 黑色 行距: 固定值 25 磅 + (西文) 宋体 首行缩进:  2 字符 + (西文) 宋体 Char Char"/>
    <w:link w:val="65"/>
    <w:qFormat/>
    <w:uiPriority w:val="0"/>
    <w:rPr>
      <w:rFonts w:eastAsia="仿宋_GB2312"/>
      <w:color w:val="000000"/>
      <w:kern w:val="28"/>
      <w:sz w:val="28"/>
    </w:rPr>
  </w:style>
  <w:style w:type="character" w:customStyle="1" w:styleId="239">
    <w:name w:val="列表名称"/>
    <w:qFormat/>
    <w:uiPriority w:val="0"/>
    <w:rPr>
      <w:rFonts w:ascii="黑体" w:eastAsia="黑体"/>
      <w:sz w:val="24"/>
    </w:rPr>
  </w:style>
  <w:style w:type="character" w:customStyle="1" w:styleId="240">
    <w:name w:val="标题2 Char Char"/>
    <w:link w:val="128"/>
    <w:qFormat/>
    <w:uiPriority w:val="0"/>
    <w:rPr>
      <w:rFonts w:ascii="Arial" w:hAnsi="Arial" w:eastAsia="黑体"/>
      <w:szCs w:val="21"/>
    </w:rPr>
  </w:style>
  <w:style w:type="character" w:customStyle="1" w:styleId="241">
    <w:name w:val="纯文本 Char1"/>
    <w:semiHidden/>
    <w:qFormat/>
    <w:uiPriority w:val="99"/>
    <w:rPr>
      <w:rFonts w:ascii="宋体" w:hAnsi="Courier New" w:eastAsia="宋体" w:cs="Courier New"/>
      <w:szCs w:val="21"/>
    </w:rPr>
  </w:style>
  <w:style w:type="character" w:customStyle="1" w:styleId="242">
    <w:name w:val="样式 粉红 下划线"/>
    <w:qFormat/>
    <w:uiPriority w:val="0"/>
    <w:rPr>
      <w:color w:val="auto"/>
      <w:u w:val="none"/>
    </w:rPr>
  </w:style>
  <w:style w:type="character" w:customStyle="1" w:styleId="243">
    <w:name w:val="文档结构图 Char"/>
    <w:link w:val="21"/>
    <w:qFormat/>
    <w:uiPriority w:val="0"/>
    <w:rPr>
      <w:rFonts w:eastAsia="宋体"/>
      <w:szCs w:val="24"/>
      <w:shd w:val="clear" w:color="auto" w:fill="000080"/>
    </w:rPr>
  </w:style>
  <w:style w:type="character" w:customStyle="1" w:styleId="244">
    <w:name w:val="样式 样式 宋体 黑色 行距: 固定值 25 磅 + (西文) 宋体 首行缩进:  2 字符 Char Char"/>
    <w:link w:val="66"/>
    <w:qFormat/>
    <w:uiPriority w:val="0"/>
    <w:rPr>
      <w:rFonts w:eastAsia="仿宋_GB2312"/>
      <w:color w:val="000000"/>
      <w:kern w:val="28"/>
      <w:sz w:val="28"/>
    </w:rPr>
  </w:style>
  <w:style w:type="character" w:customStyle="1" w:styleId="245">
    <w:name w:val="正文文本 Char1"/>
    <w:link w:val="3"/>
    <w:semiHidden/>
    <w:qFormat/>
    <w:uiPriority w:val="99"/>
    <w:rPr>
      <w:rFonts w:ascii="Times New Roman" w:hAnsi="Times New Roman" w:eastAsia="宋体" w:cs="Times New Roman"/>
      <w:szCs w:val="24"/>
    </w:rPr>
  </w:style>
  <w:style w:type="character" w:customStyle="1" w:styleId="246">
    <w:name w:val="标题 4 Char"/>
    <w:link w:val="11"/>
    <w:qFormat/>
    <w:uiPriority w:val="0"/>
    <w:rPr>
      <w:rFonts w:ascii="Arial" w:hAnsi="Arial" w:eastAsia="黑体" w:cs="Times New Roman"/>
      <w:b/>
      <w:bCs/>
      <w:sz w:val="28"/>
      <w:szCs w:val="28"/>
    </w:rPr>
  </w:style>
  <w:style w:type="character" w:customStyle="1" w:styleId="247">
    <w:name w:val="标题 3 Char"/>
    <w:link w:val="10"/>
    <w:qFormat/>
    <w:uiPriority w:val="0"/>
    <w:rPr>
      <w:rFonts w:ascii="宋体" w:hAnsi="Times New Roman" w:eastAsia="宋体" w:cs="Times New Roman"/>
      <w:b/>
      <w:bCs/>
      <w:sz w:val="24"/>
      <w:szCs w:val="24"/>
    </w:rPr>
  </w:style>
  <w:style w:type="character" w:customStyle="1" w:styleId="248">
    <w:name w:val="正文1 Char Char"/>
    <w:link w:val="150"/>
    <w:qFormat/>
    <w:uiPriority w:val="0"/>
    <w:rPr>
      <w:rFonts w:hAnsi="宋体" w:eastAsia="宋体"/>
      <w:sz w:val="28"/>
      <w:szCs w:val="28"/>
    </w:rPr>
  </w:style>
  <w:style w:type="character" w:customStyle="1" w:styleId="249">
    <w:name w:val="标题 8 Char"/>
    <w:link w:val="15"/>
    <w:qFormat/>
    <w:uiPriority w:val="0"/>
    <w:rPr>
      <w:rFonts w:ascii="Arial" w:hAnsi="Arial" w:eastAsia="黑体" w:cs="Times New Roman"/>
      <w:kern w:val="0"/>
      <w:sz w:val="24"/>
      <w:szCs w:val="24"/>
    </w:rPr>
  </w:style>
  <w:style w:type="character" w:customStyle="1" w:styleId="250">
    <w:name w:val="日期 Char"/>
    <w:link w:val="30"/>
    <w:qFormat/>
    <w:uiPriority w:val="0"/>
    <w:rPr>
      <w:rFonts w:eastAsia="宋体"/>
      <w:sz w:val="24"/>
    </w:rPr>
  </w:style>
  <w:style w:type="character" w:customStyle="1" w:styleId="251">
    <w:name w:val="地质报告文本 Char1"/>
    <w:link w:val="120"/>
    <w:qFormat/>
    <w:uiPriority w:val="0"/>
    <w:rPr>
      <w:rFonts w:eastAsia="仿宋_GB2312"/>
      <w:sz w:val="28"/>
      <w:szCs w:val="28"/>
    </w:rPr>
  </w:style>
  <w:style w:type="character" w:customStyle="1" w:styleId="252">
    <w:name w:val="页眉 Char"/>
    <w:link w:val="34"/>
    <w:qFormat/>
    <w:uiPriority w:val="0"/>
    <w:rPr>
      <w:rFonts w:eastAsia="宋体"/>
      <w:sz w:val="18"/>
      <w:szCs w:val="18"/>
    </w:rPr>
  </w:style>
  <w:style w:type="character" w:customStyle="1" w:styleId="253">
    <w:name w:val="font5 Char Char"/>
    <w:link w:val="108"/>
    <w:qFormat/>
    <w:uiPriority w:val="0"/>
    <w:rPr>
      <w:rFonts w:ascii="宋体" w:hAnsi="宋体" w:eastAsia="宋体"/>
      <w:sz w:val="24"/>
      <w:szCs w:val="24"/>
    </w:rPr>
  </w:style>
  <w:style w:type="character" w:customStyle="1" w:styleId="254">
    <w:name w:val="正文文本缩进 3 Char1"/>
    <w:semiHidden/>
    <w:qFormat/>
    <w:uiPriority w:val="99"/>
    <w:rPr>
      <w:rFonts w:ascii="Times New Roman" w:hAnsi="Times New Roman" w:eastAsia="宋体" w:cs="Times New Roman"/>
      <w:sz w:val="16"/>
      <w:szCs w:val="16"/>
    </w:rPr>
  </w:style>
  <w:style w:type="character" w:customStyle="1" w:styleId="255">
    <w:name w:val="11 Char2"/>
    <w:link w:val="143"/>
    <w:qFormat/>
    <w:uiPriority w:val="0"/>
    <w:rPr>
      <w:rFonts w:eastAsia="仿宋_GB2312"/>
      <w:sz w:val="28"/>
    </w:rPr>
  </w:style>
  <w:style w:type="character" w:customStyle="1" w:styleId="256">
    <w:name w:val="批注框文本 Char1"/>
    <w:semiHidden/>
    <w:qFormat/>
    <w:uiPriority w:val="99"/>
    <w:rPr>
      <w:rFonts w:ascii="Times New Roman" w:hAnsi="Times New Roman" w:eastAsia="宋体" w:cs="Times New Roman"/>
      <w:sz w:val="18"/>
      <w:szCs w:val="18"/>
    </w:rPr>
  </w:style>
  <w:style w:type="character" w:customStyle="1" w:styleId="257">
    <w:name w:val="表格文字左端 Char Char"/>
    <w:link w:val="92"/>
    <w:qFormat/>
    <w:uiPriority w:val="0"/>
    <w:rPr>
      <w:rFonts w:eastAsia="楷体_GB2312"/>
      <w:szCs w:val="21"/>
    </w:rPr>
  </w:style>
  <w:style w:type="character" w:customStyle="1" w:styleId="258">
    <w:name w:val="表头1 Char Char"/>
    <w:link w:val="217"/>
    <w:qFormat/>
    <w:uiPriority w:val="0"/>
    <w:rPr>
      <w:rFonts w:eastAsia="黑体"/>
      <w:sz w:val="24"/>
      <w:szCs w:val="24"/>
    </w:rPr>
  </w:style>
  <w:style w:type="character" w:customStyle="1" w:styleId="259">
    <w:name w:val="标题 Char1"/>
    <w:qFormat/>
    <w:uiPriority w:val="10"/>
    <w:rPr>
      <w:rFonts w:ascii="Calibri Light" w:hAnsi="Calibri Light" w:eastAsia="宋体" w:cs="黑体"/>
      <w:b/>
      <w:bCs/>
      <w:sz w:val="32"/>
      <w:szCs w:val="32"/>
    </w:rPr>
  </w:style>
  <w:style w:type="character" w:customStyle="1" w:styleId="260">
    <w:name w:val="标题3 Char Char"/>
    <w:link w:val="127"/>
    <w:qFormat/>
    <w:uiPriority w:val="0"/>
    <w:rPr>
      <w:rFonts w:eastAsia="宋体"/>
      <w:b/>
      <w:kern w:val="44"/>
      <w:szCs w:val="21"/>
    </w:rPr>
  </w:style>
  <w:style w:type="character" w:customStyle="1" w:styleId="261">
    <w:name w:val="标题 2 Char"/>
    <w:link w:val="9"/>
    <w:qFormat/>
    <w:uiPriority w:val="0"/>
    <w:rPr>
      <w:rFonts w:ascii="Arial" w:hAnsi="Arial" w:eastAsia="黑体" w:cs="Times New Roman"/>
      <w:b/>
      <w:bCs/>
      <w:sz w:val="32"/>
      <w:szCs w:val="32"/>
    </w:rPr>
  </w:style>
  <w:style w:type="character" w:customStyle="1" w:styleId="262">
    <w:name w:val="正文文本缩进 2 Char"/>
    <w:link w:val="31"/>
    <w:qFormat/>
    <w:uiPriority w:val="0"/>
    <w:rPr>
      <w:rFonts w:eastAsia="宋体"/>
      <w:szCs w:val="24"/>
    </w:rPr>
  </w:style>
  <w:style w:type="character" w:customStyle="1" w:styleId="263">
    <w:name w:val="页脚 Char1"/>
    <w:semiHidden/>
    <w:qFormat/>
    <w:uiPriority w:val="99"/>
    <w:rPr>
      <w:rFonts w:ascii="Times New Roman" w:hAnsi="Times New Roman" w:eastAsia="宋体" w:cs="Times New Roman"/>
      <w:sz w:val="18"/>
      <w:szCs w:val="18"/>
    </w:rPr>
  </w:style>
  <w:style w:type="character" w:customStyle="1" w:styleId="264">
    <w:name w:val="正文文本缩进 3 Char"/>
    <w:link w:val="39"/>
    <w:qFormat/>
    <w:uiPriority w:val="0"/>
    <w:rPr>
      <w:rFonts w:eastAsia="宋体"/>
      <w:sz w:val="16"/>
      <w:szCs w:val="16"/>
    </w:rPr>
  </w:style>
  <w:style w:type="character" w:customStyle="1" w:styleId="265">
    <w:name w:val="正文文字缩进 2 Char Char"/>
    <w:qFormat/>
    <w:uiPriority w:val="0"/>
    <w:rPr>
      <w:rFonts w:eastAsia="宋体"/>
      <w:kern w:val="2"/>
      <w:sz w:val="21"/>
      <w:szCs w:val="24"/>
      <w:lang w:val="en-US" w:eastAsia="zh-CN" w:bidi="ar-SA"/>
    </w:rPr>
  </w:style>
  <w:style w:type="character" w:customStyle="1" w:styleId="266">
    <w:name w:val="正文首行缩进 Char"/>
    <w:link w:val="2"/>
    <w:qFormat/>
    <w:uiPriority w:val="0"/>
    <w:rPr>
      <w:rFonts w:ascii="Times New Roman" w:hAnsi="Times New Roman" w:eastAsia="宋体" w:cs="Times New Roman"/>
      <w:bCs/>
      <w:color w:val="000000"/>
      <w:kern w:val="28"/>
      <w:szCs w:val="21"/>
    </w:rPr>
  </w:style>
  <w:style w:type="character" w:customStyle="1" w:styleId="267">
    <w:name w:val="页眉 Char1"/>
    <w:semiHidden/>
    <w:qFormat/>
    <w:uiPriority w:val="99"/>
    <w:rPr>
      <w:rFonts w:ascii="Times New Roman" w:hAnsi="Times New Roman" w:eastAsia="宋体" w:cs="Times New Roman"/>
      <w:sz w:val="18"/>
      <w:szCs w:val="18"/>
    </w:rPr>
  </w:style>
  <w:style w:type="character" w:customStyle="1" w:styleId="268">
    <w:name w:val="标题 7 Char"/>
    <w:link w:val="14"/>
    <w:qFormat/>
    <w:uiPriority w:val="0"/>
    <w:rPr>
      <w:rFonts w:ascii="Times New Roman" w:hAnsi="Times New Roman" w:eastAsia="宋体" w:cs="Times New Roman"/>
      <w:b/>
      <w:bCs/>
      <w:kern w:val="0"/>
      <w:sz w:val="24"/>
      <w:szCs w:val="24"/>
    </w:rPr>
  </w:style>
  <w:style w:type="character" w:customStyle="1" w:styleId="269">
    <w:name w:val="正文1 Char1 Char Char Char Char"/>
    <w:link w:val="70"/>
    <w:qFormat/>
    <w:uiPriority w:val="0"/>
    <w:rPr>
      <w:rFonts w:eastAsia="仿宋_GB2312"/>
      <w:kern w:val="28"/>
      <w:sz w:val="28"/>
      <w:szCs w:val="28"/>
    </w:rPr>
  </w:style>
  <w:style w:type="character" w:customStyle="1" w:styleId="270">
    <w:name w:val="批注框文本 Char"/>
    <w:link w:val="32"/>
    <w:qFormat/>
    <w:uiPriority w:val="0"/>
    <w:rPr>
      <w:rFonts w:eastAsia="宋体"/>
      <w:sz w:val="18"/>
      <w:szCs w:val="18"/>
    </w:rPr>
  </w:style>
  <w:style w:type="character" w:customStyle="1" w:styleId="271">
    <w:name w:val="纯文本 Char"/>
    <w:link w:val="28"/>
    <w:qFormat/>
    <w:uiPriority w:val="0"/>
    <w:rPr>
      <w:rFonts w:ascii="Courier New" w:hAnsi="Courier New" w:eastAsia="宋体"/>
    </w:rPr>
  </w:style>
  <w:style w:type="character" w:customStyle="1" w:styleId="272">
    <w:name w:val="（节） Char"/>
    <w:qFormat/>
    <w:uiPriority w:val="0"/>
    <w:rPr>
      <w:rFonts w:ascii="Arial" w:hAnsi="Arial" w:eastAsia="黑体" w:cs="Arial"/>
      <w:b/>
      <w:kern w:val="28"/>
      <w:sz w:val="32"/>
      <w:szCs w:val="32"/>
    </w:rPr>
  </w:style>
  <w:style w:type="character" w:customStyle="1" w:styleId="273">
    <w:name w:val="样式 小四 两端对齐 首行缩进:  0.85 厘米 行距: 1.5 倍行距 Char Char Char"/>
    <w:qFormat/>
    <w:uiPriority w:val="0"/>
    <w:rPr>
      <w:rFonts w:eastAsia="宋体" w:cs="宋体"/>
      <w:kern w:val="2"/>
      <w:sz w:val="24"/>
      <w:szCs w:val="24"/>
      <w:lang w:val="en-US" w:eastAsia="zh-CN" w:bidi="ar-SA"/>
    </w:rPr>
  </w:style>
  <w:style w:type="character" w:customStyle="1" w:styleId="274">
    <w:name w:val="表标题 Char Char"/>
    <w:link w:val="195"/>
    <w:qFormat/>
    <w:uiPriority w:val="0"/>
    <w:rPr>
      <w:rFonts w:eastAsia="黑体"/>
      <w:sz w:val="24"/>
      <w:szCs w:val="21"/>
    </w:rPr>
  </w:style>
  <w:style w:type="character" w:customStyle="1" w:styleId="275">
    <w:name w:val="标题 9 Char"/>
    <w:link w:val="16"/>
    <w:qFormat/>
    <w:uiPriority w:val="0"/>
    <w:rPr>
      <w:rFonts w:ascii="Arial" w:hAnsi="Arial" w:eastAsia="黑体" w:cs="Times New Roman"/>
      <w:kern w:val="0"/>
      <w:szCs w:val="21"/>
    </w:rPr>
  </w:style>
  <w:style w:type="character" w:customStyle="1" w:styleId="276">
    <w:name w:val="表头 Char Char"/>
    <w:link w:val="194"/>
    <w:qFormat/>
    <w:uiPriority w:val="0"/>
    <w:rPr>
      <w:rFonts w:eastAsia="黑体"/>
      <w:kern w:val="28"/>
      <w:sz w:val="24"/>
    </w:rPr>
  </w:style>
  <w:style w:type="character" w:customStyle="1" w:styleId="277">
    <w:name w:val="text1"/>
    <w:qFormat/>
    <w:uiPriority w:val="0"/>
    <w:rPr>
      <w:rFonts w:hint="eastAsia" w:ascii="新宋体" w:hAnsi="新宋体" w:eastAsia="新宋体"/>
      <w:color w:val="333333"/>
      <w:spacing w:val="330"/>
      <w:kern w:val="2"/>
      <w:sz w:val="18"/>
      <w:szCs w:val="18"/>
      <w:u w:val="none"/>
      <w:lang w:val="en-US" w:eastAsia="zh-CN" w:bidi="ar-SA"/>
    </w:rPr>
  </w:style>
  <w:style w:type="character" w:customStyle="1" w:styleId="278">
    <w:name w:val="正文文本缩进 Char"/>
    <w:link w:val="6"/>
    <w:qFormat/>
    <w:uiPriority w:val="0"/>
    <w:rPr>
      <w:rFonts w:eastAsia="宋体"/>
      <w:szCs w:val="24"/>
    </w:rPr>
  </w:style>
  <w:style w:type="character" w:customStyle="1" w:styleId="279">
    <w:name w:val="middle1"/>
    <w:qFormat/>
    <w:uiPriority w:val="0"/>
    <w:rPr>
      <w:rFonts w:hint="eastAsia" w:ascii="宋体" w:hAnsi="宋体" w:eastAsia="宋体"/>
      <w:kern w:val="2"/>
      <w:sz w:val="24"/>
      <w:szCs w:val="24"/>
      <w:lang w:val="en-US" w:eastAsia="zh-CN" w:bidi="ar-SA"/>
    </w:rPr>
  </w:style>
  <w:style w:type="character" w:customStyle="1" w:styleId="280">
    <w:name w:val="正文缩进 Char"/>
    <w:link w:val="19"/>
    <w:qFormat/>
    <w:uiPriority w:val="0"/>
    <w:rPr>
      <w:rFonts w:eastAsia="宋体"/>
      <w:szCs w:val="24"/>
    </w:rPr>
  </w:style>
  <w:style w:type="character" w:customStyle="1" w:styleId="281">
    <w:name w:val="文档结构图 Char1"/>
    <w:semiHidden/>
    <w:qFormat/>
    <w:uiPriority w:val="99"/>
    <w:rPr>
      <w:rFonts w:ascii="Microsoft YaHei UI" w:hAnsi="Times New Roman" w:eastAsia="Microsoft YaHei UI" w:cs="Times New Roman"/>
      <w:sz w:val="18"/>
      <w:szCs w:val="18"/>
    </w:rPr>
  </w:style>
  <w:style w:type="character" w:customStyle="1" w:styleId="282">
    <w:name w:val="批注文字 Char"/>
    <w:qFormat/>
    <w:uiPriority w:val="0"/>
    <w:rPr>
      <w:rFonts w:eastAsia="仿宋_GB2312"/>
      <w:kern w:val="28"/>
      <w:sz w:val="28"/>
      <w:szCs w:val="28"/>
      <w:lang w:val="en-US" w:eastAsia="zh-CN" w:bidi="ar-SA"/>
    </w:rPr>
  </w:style>
  <w:style w:type="character" w:customStyle="1" w:styleId="283">
    <w:name w:val="标题 5 Char"/>
    <w:link w:val="12"/>
    <w:qFormat/>
    <w:uiPriority w:val="0"/>
    <w:rPr>
      <w:rFonts w:ascii="Times New Roman" w:hAnsi="Times New Roman" w:eastAsia="宋体" w:cs="Times New Roman"/>
      <w:sz w:val="36"/>
      <w:szCs w:val="24"/>
    </w:rPr>
  </w:style>
  <w:style w:type="character" w:customStyle="1" w:styleId="284">
    <w:name w:val="标题 Char"/>
    <w:link w:val="45"/>
    <w:qFormat/>
    <w:uiPriority w:val="0"/>
    <w:rPr>
      <w:rFonts w:ascii="Arial" w:hAnsi="Arial" w:eastAsia="宋体"/>
      <w:b/>
      <w:sz w:val="32"/>
    </w:rPr>
  </w:style>
  <w:style w:type="character" w:customStyle="1" w:styleId="285">
    <w:name w:val="正文文本 2 Char"/>
    <w:qFormat/>
    <w:uiPriority w:val="0"/>
    <w:rPr>
      <w:rFonts w:ascii="Times New Roman" w:hAnsi="Times New Roman" w:eastAsia="宋体" w:cs="Times New Roman"/>
      <w:szCs w:val="24"/>
    </w:rPr>
  </w:style>
  <w:style w:type="character" w:customStyle="1" w:styleId="286">
    <w:name w:val="样式 小四"/>
    <w:qFormat/>
    <w:uiPriority w:val="0"/>
    <w:rPr>
      <w:rFonts w:ascii="Times New Roman" w:hAnsi="Times New Roman" w:eastAsia="仿宋_GB2312"/>
      <w:kern w:val="2"/>
      <w:sz w:val="28"/>
      <w:szCs w:val="24"/>
      <w:lang w:val="en-US" w:eastAsia="zh-CN" w:bidi="ar-SA"/>
    </w:rPr>
  </w:style>
  <w:style w:type="character" w:customStyle="1" w:styleId="287">
    <w:name w:val="样式 粉红"/>
    <w:qFormat/>
    <w:uiPriority w:val="0"/>
    <w:rPr>
      <w:color w:val="auto"/>
      <w:u w:val="none"/>
    </w:rPr>
  </w:style>
  <w:style w:type="character" w:customStyle="1" w:styleId="288">
    <w:name w:val="apple-converted-space"/>
    <w:basedOn w:val="48"/>
    <w:qFormat/>
    <w:uiPriority w:val="0"/>
  </w:style>
  <w:style w:type="character" w:customStyle="1" w:styleId="289">
    <w:name w:val="正文首行缩进 2 Char1"/>
    <w:semiHidden/>
    <w:qFormat/>
    <w:uiPriority w:val="99"/>
    <w:rPr>
      <w:rFonts w:ascii="Times New Roman" w:hAnsi="Times New Roman" w:eastAsia="宋体" w:cs="Times New Roman"/>
      <w:szCs w:val="24"/>
    </w:rPr>
  </w:style>
  <w:style w:type="character" w:customStyle="1" w:styleId="290">
    <w:name w:val="标题 6 Char"/>
    <w:link w:val="13"/>
    <w:qFormat/>
    <w:uiPriority w:val="0"/>
    <w:rPr>
      <w:rFonts w:ascii="Arial" w:hAnsi="Arial" w:eastAsia="黑体" w:cs="Times New Roman"/>
      <w:b/>
      <w:bCs/>
      <w:kern w:val="0"/>
      <w:sz w:val="24"/>
      <w:szCs w:val="24"/>
    </w:rPr>
  </w:style>
  <w:style w:type="character" w:customStyle="1" w:styleId="291">
    <w:name w:val="表格1 Char Char"/>
    <w:link w:val="82"/>
    <w:qFormat/>
    <w:uiPriority w:val="0"/>
    <w:rPr>
      <w:sz w:val="18"/>
    </w:rPr>
  </w:style>
  <w:style w:type="character" w:customStyle="1" w:styleId="292">
    <w:name w:val="mh-map_new-info"/>
    <w:basedOn w:val="48"/>
    <w:qFormat/>
    <w:uiPriority w:val="0"/>
  </w:style>
  <w:style w:type="character" w:customStyle="1" w:styleId="293">
    <w:name w:val="正文文本缩进 Char1"/>
    <w:semiHidden/>
    <w:qFormat/>
    <w:uiPriority w:val="99"/>
    <w:rPr>
      <w:rFonts w:ascii="Times New Roman" w:hAnsi="Times New Roman" w:eastAsia="宋体" w:cs="Times New Roman"/>
      <w:szCs w:val="24"/>
    </w:rPr>
  </w:style>
  <w:style w:type="character" w:customStyle="1" w:styleId="294">
    <w:name w:val="正文文本 Char"/>
    <w:qFormat/>
    <w:uiPriority w:val="0"/>
    <w:rPr>
      <w:rFonts w:eastAsia="宋体"/>
      <w:kern w:val="2"/>
      <w:sz w:val="21"/>
      <w:szCs w:val="24"/>
      <w:lang w:val="en-US" w:eastAsia="zh-CN" w:bidi="ar-SA"/>
    </w:rPr>
  </w:style>
  <w:style w:type="paragraph" w:styleId="295">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96">
    <w:name w:val="BodyTextIndent2"/>
    <w:basedOn w:val="1"/>
    <w:qFormat/>
    <w:uiPriority w:val="0"/>
    <w:pPr>
      <w:spacing w:line="240" w:lineRule="atLeast"/>
      <w:ind w:firstLine="538" w:firstLineChars="192"/>
    </w:pPr>
    <w:rPr>
      <w:rFonts w:ascii="宋体" w:hAnsi="宋体"/>
      <w:kern w:val="0"/>
      <w:sz w:val="28"/>
    </w:rPr>
  </w:style>
  <w:style w:type="character" w:customStyle="1" w:styleId="297">
    <w:name w:val="NormalCharacter"/>
    <w:qFormat/>
    <w:uiPriority w:val="0"/>
    <w:rPr>
      <w:rFonts w:ascii="Times New Roman" w:hAnsi="Times New Roman" w:eastAsia="宋体"/>
    </w:rPr>
  </w:style>
  <w:style w:type="paragraph" w:customStyle="1" w:styleId="298">
    <w:name w:val="UserStyle_32"/>
    <w:basedOn w:val="1"/>
    <w:qFormat/>
    <w:uiPriority w:val="0"/>
    <w:pPr>
      <w:spacing w:line="400" w:lineRule="exact"/>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25106</Words>
  <Characters>27110</Characters>
  <Lines>221</Lines>
  <Paragraphs>62</Paragraphs>
  <TotalTime>1</TotalTime>
  <ScaleCrop>false</ScaleCrop>
  <LinksUpToDate>false</LinksUpToDate>
  <CharactersWithSpaces>30813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2019-12-18T06:10:00Z</dcterms:created>
  <dc:creator>Administrator</dc:creator>
  <cp:lastModifiedBy>酱油</cp:lastModifiedBy>
  <cp:lastPrinted>2022-10-18T05:31:00Z</cp:lastPrinted>
  <dcterms:modified xsi:type="dcterms:W3CDTF">2022-11-01T08:50:05Z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3CD6C7FC35CB4BC99D42229CE5A02B8C</vt:lpwstr>
  </property>
</Properties>
</file>